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8228" w14:textId="57129AC7" w:rsidR="00F43411" w:rsidRDefault="00F43411" w:rsidP="002D7498">
      <w:pPr>
        <w:ind w:left="5040"/>
        <w:rPr>
          <w:rFonts w:ascii="Arial" w:hAnsi="Arial" w:cs="Arial"/>
          <w:color w:val="1F497D"/>
        </w:rPr>
      </w:pPr>
    </w:p>
    <w:p w14:paraId="405C24A7" w14:textId="77777777" w:rsidR="004949C7" w:rsidRDefault="004949C7" w:rsidP="002D7498">
      <w:pPr>
        <w:ind w:left="5040"/>
        <w:rPr>
          <w:rFonts w:ascii="Arial" w:hAnsi="Arial" w:cs="Arial"/>
          <w:color w:val="1F497D"/>
        </w:rPr>
      </w:pPr>
    </w:p>
    <w:p w14:paraId="29F6F8A1" w14:textId="77777777" w:rsidR="004949C7" w:rsidRDefault="004949C7" w:rsidP="002D7498">
      <w:pPr>
        <w:ind w:left="5040"/>
        <w:rPr>
          <w:rFonts w:ascii="Arial" w:hAnsi="Arial" w:cs="Arial"/>
          <w:color w:val="1F497D"/>
        </w:rPr>
      </w:pPr>
    </w:p>
    <w:p w14:paraId="02AD09CA" w14:textId="77777777" w:rsidR="004949C7" w:rsidRPr="00D37E6C" w:rsidRDefault="004949C7" w:rsidP="004949C7">
      <w:pPr>
        <w:pStyle w:val="Title"/>
        <w:rPr>
          <w:rFonts w:ascii="Arial" w:hAnsi="Arial" w:cs="Arial"/>
        </w:rPr>
      </w:pPr>
      <w:r w:rsidRPr="00D37E6C">
        <w:rPr>
          <w:rFonts w:ascii="Arial" w:hAnsi="Arial" w:cs="Arial"/>
        </w:rPr>
        <w:t>College Policies and Procedures</w:t>
      </w:r>
    </w:p>
    <w:p w14:paraId="435D40EE" w14:textId="77777777" w:rsidR="004949C7" w:rsidRDefault="004949C7" w:rsidP="002D7498">
      <w:pPr>
        <w:ind w:left="5040"/>
      </w:pPr>
    </w:p>
    <w:p w14:paraId="6B90CD4B" w14:textId="77777777" w:rsidR="003511B5" w:rsidRDefault="003511B5" w:rsidP="002D7498">
      <w:pPr>
        <w:ind w:left="5040"/>
      </w:pPr>
    </w:p>
    <w:p w14:paraId="2D209721" w14:textId="77777777" w:rsidR="003511B5" w:rsidRDefault="003511B5" w:rsidP="002D7498">
      <w:pPr>
        <w:ind w:left="5040"/>
      </w:pPr>
    </w:p>
    <w:p w14:paraId="5652A195" w14:textId="77777777" w:rsidR="002D7498" w:rsidRPr="004949C7" w:rsidRDefault="002D7498" w:rsidP="002D7498">
      <w:r>
        <w:tab/>
      </w:r>
      <w:r>
        <w:tab/>
      </w:r>
      <w:r>
        <w:tab/>
      </w:r>
      <w:r>
        <w:tab/>
      </w:r>
      <w:r>
        <w:tab/>
      </w:r>
      <w:r>
        <w:tab/>
      </w:r>
      <w:r>
        <w:tab/>
      </w:r>
      <w:r>
        <w:tab/>
      </w:r>
      <w:r>
        <w:tab/>
      </w:r>
      <w:r>
        <w:tab/>
      </w:r>
    </w:p>
    <w:tbl>
      <w:tblPr>
        <w:tblStyle w:val="TableGrid"/>
        <w:tblW w:w="93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22"/>
      </w:tblGrid>
      <w:tr w:rsidR="004949C7" w14:paraId="1789C0EA" w14:textId="77777777" w:rsidTr="004949C7">
        <w:tc>
          <w:tcPr>
            <w:tcW w:w="9322" w:type="dxa"/>
          </w:tcPr>
          <w:p w14:paraId="3B0DADBE" w14:textId="77777777" w:rsidR="004949C7" w:rsidRDefault="004949C7" w:rsidP="002D7498">
            <w:pPr>
              <w:rPr>
                <w:rFonts w:ascii="Arial" w:hAnsi="Arial" w:cs="Arial"/>
                <w:b/>
                <w:color w:val="000000"/>
              </w:rPr>
            </w:pPr>
          </w:p>
          <w:p w14:paraId="16CF18FC" w14:textId="77777777" w:rsidR="004949C7" w:rsidRDefault="004949C7" w:rsidP="002D7498">
            <w:pPr>
              <w:rPr>
                <w:rFonts w:ascii="Arial" w:hAnsi="Arial" w:cs="Arial"/>
                <w:b/>
                <w:color w:val="000000"/>
              </w:rPr>
            </w:pPr>
          </w:p>
          <w:p w14:paraId="03138235" w14:textId="77777777" w:rsidR="00382871" w:rsidRDefault="004949C7" w:rsidP="004949C7">
            <w:pPr>
              <w:pStyle w:val="Header"/>
              <w:ind w:left="567" w:right="465"/>
              <w:jc w:val="center"/>
              <w:rPr>
                <w:rFonts w:ascii="Arial" w:hAnsi="Arial" w:cs="Arial"/>
                <w:b/>
                <w:sz w:val="44"/>
                <w:szCs w:val="44"/>
              </w:rPr>
            </w:pPr>
            <w:r w:rsidRPr="004949C7">
              <w:rPr>
                <w:rFonts w:ascii="Arial" w:hAnsi="Arial" w:cs="Arial"/>
                <w:b/>
                <w:color w:val="000000"/>
                <w:sz w:val="44"/>
                <w:szCs w:val="44"/>
              </w:rPr>
              <w:t xml:space="preserve">Assessment Regulations for Students studying for </w:t>
            </w:r>
            <w:r w:rsidRPr="004949C7">
              <w:rPr>
                <w:rFonts w:ascii="Arial" w:hAnsi="Arial" w:cs="Arial"/>
                <w:b/>
                <w:color w:val="000000"/>
                <w:sz w:val="44"/>
                <w:szCs w:val="44"/>
                <w:u w:val="single"/>
              </w:rPr>
              <w:t xml:space="preserve">Pearson </w:t>
            </w:r>
            <w:r w:rsidR="00FB7FD2">
              <w:rPr>
                <w:rFonts w:ascii="Arial" w:hAnsi="Arial" w:cs="Arial"/>
                <w:b/>
                <w:color w:val="000000"/>
                <w:sz w:val="44"/>
                <w:szCs w:val="44"/>
                <w:u w:val="single"/>
              </w:rPr>
              <w:t xml:space="preserve">BTEC </w:t>
            </w:r>
            <w:r w:rsidRPr="004949C7">
              <w:rPr>
                <w:rFonts w:ascii="Arial" w:hAnsi="Arial" w:cs="Arial"/>
                <w:b/>
                <w:color w:val="000000"/>
                <w:sz w:val="44"/>
                <w:szCs w:val="44"/>
                <w:u w:val="single"/>
              </w:rPr>
              <w:t>HNC/D</w:t>
            </w:r>
            <w:r w:rsidR="0035304C">
              <w:rPr>
                <w:rFonts w:ascii="Arial" w:hAnsi="Arial" w:cs="Arial"/>
                <w:b/>
                <w:color w:val="000000"/>
                <w:sz w:val="44"/>
                <w:szCs w:val="44"/>
              </w:rPr>
              <w:t xml:space="preserve"> qualifications </w:t>
            </w:r>
            <w:r w:rsidRPr="004949C7">
              <w:rPr>
                <w:rFonts w:ascii="Arial" w:hAnsi="Arial" w:cs="Arial"/>
                <w:b/>
                <w:color w:val="000000"/>
                <w:sz w:val="44"/>
                <w:szCs w:val="44"/>
              </w:rPr>
              <w:t>at South Essex College</w:t>
            </w:r>
            <w:r w:rsidRPr="001413BC">
              <w:rPr>
                <w:rFonts w:ascii="Arial" w:hAnsi="Arial" w:cs="Arial"/>
                <w:sz w:val="44"/>
                <w:szCs w:val="44"/>
              </w:rPr>
              <w:t xml:space="preserve"> </w:t>
            </w:r>
            <w:r w:rsidRPr="004949C7">
              <w:rPr>
                <w:rFonts w:ascii="Arial" w:hAnsi="Arial" w:cs="Arial"/>
                <w:b/>
                <w:sz w:val="44"/>
                <w:szCs w:val="44"/>
              </w:rPr>
              <w:t xml:space="preserve">of Further and Higher Education </w:t>
            </w:r>
          </w:p>
          <w:p w14:paraId="21FE2F8D" w14:textId="1DF933DA" w:rsidR="004949C7" w:rsidRPr="004949C7" w:rsidRDefault="004949C7" w:rsidP="004949C7">
            <w:pPr>
              <w:pStyle w:val="Header"/>
              <w:ind w:left="567" w:right="465"/>
              <w:jc w:val="center"/>
              <w:rPr>
                <w:rFonts w:ascii="Arial" w:hAnsi="Arial"/>
                <w:b/>
                <w:sz w:val="44"/>
                <w:szCs w:val="44"/>
              </w:rPr>
            </w:pPr>
            <w:r w:rsidRPr="004949C7">
              <w:rPr>
                <w:rFonts w:ascii="Arial" w:hAnsi="Arial" w:cs="Arial"/>
                <w:b/>
                <w:sz w:val="44"/>
                <w:szCs w:val="44"/>
              </w:rPr>
              <w:t>201</w:t>
            </w:r>
            <w:r w:rsidR="00985C13">
              <w:rPr>
                <w:rFonts w:ascii="Arial" w:hAnsi="Arial" w:cs="Arial"/>
                <w:b/>
                <w:sz w:val="44"/>
                <w:szCs w:val="44"/>
              </w:rPr>
              <w:t>6</w:t>
            </w:r>
            <w:r w:rsidRPr="004949C7">
              <w:rPr>
                <w:rFonts w:ascii="Arial" w:hAnsi="Arial" w:cs="Arial"/>
                <w:b/>
                <w:sz w:val="44"/>
                <w:szCs w:val="44"/>
              </w:rPr>
              <w:t>-1</w:t>
            </w:r>
            <w:r w:rsidR="00985C13">
              <w:rPr>
                <w:rFonts w:ascii="Arial" w:hAnsi="Arial" w:cs="Arial"/>
                <w:b/>
                <w:sz w:val="44"/>
                <w:szCs w:val="44"/>
              </w:rPr>
              <w:t>7</w:t>
            </w:r>
            <w:bookmarkStart w:id="0" w:name="_GoBack"/>
            <w:bookmarkEnd w:id="0"/>
          </w:p>
          <w:p w14:paraId="2F72E9F3" w14:textId="77777777" w:rsidR="004949C7" w:rsidRPr="004949C7" w:rsidRDefault="004949C7" w:rsidP="004949C7">
            <w:pPr>
              <w:jc w:val="center"/>
              <w:rPr>
                <w:rFonts w:ascii="Arial" w:hAnsi="Arial" w:cs="Arial"/>
                <w:b/>
                <w:color w:val="000000"/>
                <w:sz w:val="44"/>
                <w:szCs w:val="44"/>
              </w:rPr>
            </w:pPr>
          </w:p>
          <w:p w14:paraId="6685CBD1" w14:textId="77777777" w:rsidR="004949C7" w:rsidRPr="004949C7" w:rsidRDefault="004949C7" w:rsidP="004949C7">
            <w:pPr>
              <w:rPr>
                <w:rFonts w:ascii="Arial" w:hAnsi="Arial" w:cs="Arial"/>
                <w:b/>
                <w:color w:val="000000"/>
                <w:sz w:val="44"/>
                <w:szCs w:val="44"/>
              </w:rPr>
            </w:pPr>
          </w:p>
          <w:p w14:paraId="35E90823" w14:textId="77777777" w:rsidR="004949C7" w:rsidRDefault="004949C7" w:rsidP="002D7498">
            <w:pPr>
              <w:rPr>
                <w:rFonts w:ascii="Arial" w:hAnsi="Arial" w:cs="Arial"/>
                <w:b/>
                <w:color w:val="000000"/>
              </w:rPr>
            </w:pPr>
          </w:p>
          <w:p w14:paraId="47EA002E" w14:textId="77777777" w:rsidR="004949C7" w:rsidRDefault="004949C7" w:rsidP="002D7498">
            <w:pPr>
              <w:rPr>
                <w:rFonts w:ascii="Arial" w:hAnsi="Arial" w:cs="Arial"/>
                <w:b/>
                <w:color w:val="000000"/>
              </w:rPr>
            </w:pPr>
          </w:p>
          <w:p w14:paraId="7715B9E7" w14:textId="77777777" w:rsidR="004949C7" w:rsidRDefault="004949C7" w:rsidP="002D7498">
            <w:pPr>
              <w:rPr>
                <w:rFonts w:ascii="Arial" w:hAnsi="Arial" w:cs="Arial"/>
                <w:b/>
                <w:color w:val="000000"/>
              </w:rPr>
            </w:pPr>
          </w:p>
        </w:tc>
      </w:tr>
    </w:tbl>
    <w:p w14:paraId="1ABA9D5D" w14:textId="77777777" w:rsidR="002D7498" w:rsidRDefault="002D7498" w:rsidP="002D7498">
      <w:pPr>
        <w:rPr>
          <w:rFonts w:ascii="Arial" w:hAnsi="Arial" w:cs="Arial"/>
          <w:b/>
          <w:color w:val="000000"/>
        </w:rPr>
      </w:pPr>
    </w:p>
    <w:p w14:paraId="0433AFC9" w14:textId="77777777" w:rsidR="002D7498" w:rsidRDefault="002D7498" w:rsidP="002D7498">
      <w:pPr>
        <w:rPr>
          <w:rFonts w:ascii="Arial" w:hAnsi="Arial" w:cs="Arial"/>
          <w:b/>
          <w:color w:val="000000"/>
        </w:rPr>
      </w:pPr>
    </w:p>
    <w:p w14:paraId="4DEB71EF" w14:textId="44E1DAC5" w:rsidR="004949C7" w:rsidRPr="00632456" w:rsidRDefault="00632456" w:rsidP="002D7498">
      <w:pPr>
        <w:rPr>
          <w:rFonts w:ascii="Arial" w:hAnsi="Arial" w:cs="Arial"/>
          <w:b/>
          <w:color w:val="000000"/>
          <w:sz w:val="24"/>
          <w:szCs w:val="24"/>
        </w:rPr>
      </w:pPr>
      <w:r w:rsidRPr="00632456">
        <w:rPr>
          <w:rFonts w:ascii="Arial" w:hAnsi="Arial" w:cs="Arial"/>
          <w:b/>
          <w:color w:val="000000"/>
          <w:sz w:val="24"/>
          <w:szCs w:val="24"/>
        </w:rPr>
        <w:t>First Review</w:t>
      </w:r>
      <w:r w:rsidR="00B92EB6">
        <w:rPr>
          <w:rFonts w:ascii="Arial" w:hAnsi="Arial" w:cs="Arial"/>
          <w:b/>
          <w:color w:val="000000"/>
          <w:sz w:val="24"/>
          <w:szCs w:val="24"/>
        </w:rPr>
        <w:t>:</w:t>
      </w:r>
      <w:r w:rsidRPr="00632456">
        <w:rPr>
          <w:rFonts w:ascii="Arial" w:hAnsi="Arial" w:cs="Arial"/>
          <w:b/>
          <w:color w:val="000000"/>
          <w:sz w:val="24"/>
          <w:szCs w:val="24"/>
        </w:rPr>
        <w:t xml:space="preserve"> September 2016 </w:t>
      </w:r>
    </w:p>
    <w:p w14:paraId="5C7EB557" w14:textId="77777777" w:rsidR="004949C7" w:rsidRDefault="004949C7" w:rsidP="002D7498">
      <w:pPr>
        <w:rPr>
          <w:rFonts w:ascii="Arial" w:hAnsi="Arial" w:cs="Arial"/>
          <w:b/>
          <w:color w:val="000000"/>
        </w:rPr>
      </w:pPr>
    </w:p>
    <w:p w14:paraId="03FFAA71" w14:textId="77777777" w:rsidR="002D7498" w:rsidRDefault="004949C7" w:rsidP="002D7498">
      <w:pPr>
        <w:rPr>
          <w:rFonts w:ascii="Arial" w:hAnsi="Arial" w:cs="Arial"/>
          <w:b/>
          <w:color w:val="000000"/>
        </w:rPr>
      </w:pPr>
      <w:r>
        <w:rPr>
          <w:rFonts w:ascii="Arial" w:hAnsi="Arial" w:cs="Arial"/>
          <w:b/>
          <w:color w:val="000000"/>
        </w:rPr>
        <w:br w:type="page"/>
      </w:r>
    </w:p>
    <w:p w14:paraId="023A70BE" w14:textId="77777777" w:rsidR="002D7498" w:rsidRPr="00431F3F" w:rsidRDefault="002D7498" w:rsidP="002D7498">
      <w:pPr>
        <w:pStyle w:val="Header"/>
        <w:jc w:val="center"/>
        <w:rPr>
          <w:rFonts w:ascii="Arial" w:hAnsi="Arial" w:cs="Arial"/>
          <w:b/>
          <w:bCs/>
          <w:iCs/>
          <w:szCs w:val="24"/>
        </w:rPr>
      </w:pPr>
    </w:p>
    <w:p w14:paraId="1703EBA3" w14:textId="77777777" w:rsidR="00AB0A1B" w:rsidRDefault="00AB0A1B" w:rsidP="00AB0A1B"/>
    <w:sdt>
      <w:sdtPr>
        <w:rPr>
          <w:rFonts w:asciiTheme="minorHAnsi" w:eastAsiaTheme="minorHAnsi" w:hAnsiTheme="minorHAnsi" w:cstheme="minorBidi"/>
          <w:color w:val="auto"/>
          <w:sz w:val="22"/>
          <w:szCs w:val="22"/>
          <w:lang w:val="en-GB"/>
        </w:rPr>
        <w:id w:val="-1756273725"/>
        <w:docPartObj>
          <w:docPartGallery w:val="Table of Contents"/>
          <w:docPartUnique/>
        </w:docPartObj>
      </w:sdtPr>
      <w:sdtEndPr>
        <w:rPr>
          <w:bCs/>
          <w:noProof/>
        </w:rPr>
      </w:sdtEndPr>
      <w:sdtContent>
        <w:p w14:paraId="3B34F8BC" w14:textId="1C0374EB" w:rsidR="00744AEA" w:rsidRDefault="00744AEA">
          <w:pPr>
            <w:pStyle w:val="TOCHeading"/>
          </w:pPr>
          <w:r>
            <w:t>Contents</w:t>
          </w:r>
        </w:p>
        <w:p w14:paraId="10948E1D" w14:textId="77777777" w:rsidR="00744AEA" w:rsidRDefault="00744AE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40442726" w:history="1">
            <w:r w:rsidRPr="006D5F7F">
              <w:rPr>
                <w:rStyle w:val="Hyperlink"/>
                <w:noProof/>
              </w:rPr>
              <w:t>Policy Statement</w:t>
            </w:r>
            <w:r>
              <w:rPr>
                <w:noProof/>
                <w:webHidden/>
              </w:rPr>
              <w:tab/>
            </w:r>
            <w:r>
              <w:rPr>
                <w:noProof/>
                <w:webHidden/>
              </w:rPr>
              <w:fldChar w:fldCharType="begin"/>
            </w:r>
            <w:r>
              <w:rPr>
                <w:noProof/>
                <w:webHidden/>
              </w:rPr>
              <w:instrText xml:space="preserve"> PAGEREF _Toc440442726 \h </w:instrText>
            </w:r>
            <w:r>
              <w:rPr>
                <w:noProof/>
                <w:webHidden/>
              </w:rPr>
            </w:r>
            <w:r>
              <w:rPr>
                <w:noProof/>
                <w:webHidden/>
              </w:rPr>
              <w:fldChar w:fldCharType="separate"/>
            </w:r>
            <w:r>
              <w:rPr>
                <w:noProof/>
                <w:webHidden/>
              </w:rPr>
              <w:t>3</w:t>
            </w:r>
            <w:r>
              <w:rPr>
                <w:noProof/>
                <w:webHidden/>
              </w:rPr>
              <w:fldChar w:fldCharType="end"/>
            </w:r>
          </w:hyperlink>
        </w:p>
        <w:p w14:paraId="2E1CB844" w14:textId="77777777" w:rsidR="00744AEA" w:rsidRDefault="00985C13">
          <w:pPr>
            <w:pStyle w:val="TOC1"/>
            <w:tabs>
              <w:tab w:val="right" w:leader="dot" w:pos="9016"/>
            </w:tabs>
            <w:rPr>
              <w:rFonts w:eastAsiaTheme="minorEastAsia"/>
              <w:noProof/>
              <w:lang w:eastAsia="en-GB"/>
            </w:rPr>
          </w:pPr>
          <w:hyperlink w:anchor="_Toc440442727" w:history="1">
            <w:r w:rsidR="00744AEA" w:rsidRPr="006D5F7F">
              <w:rPr>
                <w:rStyle w:val="Hyperlink"/>
                <w:noProof/>
              </w:rPr>
              <w:t>Scope</w:t>
            </w:r>
            <w:r w:rsidR="00744AEA">
              <w:rPr>
                <w:noProof/>
                <w:webHidden/>
              </w:rPr>
              <w:tab/>
            </w:r>
            <w:r w:rsidR="00744AEA">
              <w:rPr>
                <w:noProof/>
                <w:webHidden/>
              </w:rPr>
              <w:fldChar w:fldCharType="begin"/>
            </w:r>
            <w:r w:rsidR="00744AEA">
              <w:rPr>
                <w:noProof/>
                <w:webHidden/>
              </w:rPr>
              <w:instrText xml:space="preserve"> PAGEREF _Toc440442727 \h </w:instrText>
            </w:r>
            <w:r w:rsidR="00744AEA">
              <w:rPr>
                <w:noProof/>
                <w:webHidden/>
              </w:rPr>
            </w:r>
            <w:r w:rsidR="00744AEA">
              <w:rPr>
                <w:noProof/>
                <w:webHidden/>
              </w:rPr>
              <w:fldChar w:fldCharType="separate"/>
            </w:r>
            <w:r w:rsidR="00744AEA">
              <w:rPr>
                <w:noProof/>
                <w:webHidden/>
              </w:rPr>
              <w:t>3</w:t>
            </w:r>
            <w:r w:rsidR="00744AEA">
              <w:rPr>
                <w:noProof/>
                <w:webHidden/>
              </w:rPr>
              <w:fldChar w:fldCharType="end"/>
            </w:r>
          </w:hyperlink>
        </w:p>
        <w:p w14:paraId="1ED5D85B" w14:textId="77777777" w:rsidR="00744AEA" w:rsidRDefault="00985C13">
          <w:pPr>
            <w:pStyle w:val="TOC1"/>
            <w:tabs>
              <w:tab w:val="right" w:leader="dot" w:pos="9016"/>
            </w:tabs>
            <w:rPr>
              <w:rFonts w:eastAsiaTheme="minorEastAsia"/>
              <w:noProof/>
              <w:lang w:eastAsia="en-GB"/>
            </w:rPr>
          </w:pPr>
          <w:hyperlink w:anchor="_Toc440442728" w:history="1">
            <w:r w:rsidR="00744AEA" w:rsidRPr="006D5F7F">
              <w:rPr>
                <w:rStyle w:val="Hyperlink"/>
                <w:noProof/>
              </w:rPr>
              <w:t>Responsibilities in the context of these assessment regulations</w:t>
            </w:r>
            <w:r w:rsidR="00744AEA">
              <w:rPr>
                <w:noProof/>
                <w:webHidden/>
              </w:rPr>
              <w:tab/>
            </w:r>
            <w:r w:rsidR="00744AEA">
              <w:rPr>
                <w:noProof/>
                <w:webHidden/>
              </w:rPr>
              <w:fldChar w:fldCharType="begin"/>
            </w:r>
            <w:r w:rsidR="00744AEA">
              <w:rPr>
                <w:noProof/>
                <w:webHidden/>
              </w:rPr>
              <w:instrText xml:space="preserve"> PAGEREF _Toc440442728 \h </w:instrText>
            </w:r>
            <w:r w:rsidR="00744AEA">
              <w:rPr>
                <w:noProof/>
                <w:webHidden/>
              </w:rPr>
            </w:r>
            <w:r w:rsidR="00744AEA">
              <w:rPr>
                <w:noProof/>
                <w:webHidden/>
              </w:rPr>
              <w:fldChar w:fldCharType="separate"/>
            </w:r>
            <w:r w:rsidR="00744AEA">
              <w:rPr>
                <w:noProof/>
                <w:webHidden/>
              </w:rPr>
              <w:t>3</w:t>
            </w:r>
            <w:r w:rsidR="00744AEA">
              <w:rPr>
                <w:noProof/>
                <w:webHidden/>
              </w:rPr>
              <w:fldChar w:fldCharType="end"/>
            </w:r>
          </w:hyperlink>
        </w:p>
        <w:p w14:paraId="0CD9D1C2" w14:textId="77777777" w:rsidR="00744AEA" w:rsidRDefault="00985C13">
          <w:pPr>
            <w:pStyle w:val="TOC1"/>
            <w:tabs>
              <w:tab w:val="right" w:leader="dot" w:pos="9016"/>
            </w:tabs>
            <w:rPr>
              <w:rFonts w:eastAsiaTheme="minorEastAsia"/>
              <w:noProof/>
              <w:lang w:eastAsia="en-GB"/>
            </w:rPr>
          </w:pPr>
          <w:hyperlink w:anchor="_Toc440442729" w:history="1">
            <w:r w:rsidR="00744AEA" w:rsidRPr="006D5F7F">
              <w:rPr>
                <w:rStyle w:val="Hyperlink"/>
                <w:noProof/>
              </w:rPr>
              <w:t>Programme Duration</w:t>
            </w:r>
            <w:r w:rsidR="00744AEA">
              <w:rPr>
                <w:noProof/>
                <w:webHidden/>
              </w:rPr>
              <w:tab/>
            </w:r>
            <w:r w:rsidR="00744AEA">
              <w:rPr>
                <w:noProof/>
                <w:webHidden/>
              </w:rPr>
              <w:fldChar w:fldCharType="begin"/>
            </w:r>
            <w:r w:rsidR="00744AEA">
              <w:rPr>
                <w:noProof/>
                <w:webHidden/>
              </w:rPr>
              <w:instrText xml:space="preserve"> PAGEREF _Toc440442729 \h </w:instrText>
            </w:r>
            <w:r w:rsidR="00744AEA">
              <w:rPr>
                <w:noProof/>
                <w:webHidden/>
              </w:rPr>
            </w:r>
            <w:r w:rsidR="00744AEA">
              <w:rPr>
                <w:noProof/>
                <w:webHidden/>
              </w:rPr>
              <w:fldChar w:fldCharType="separate"/>
            </w:r>
            <w:r w:rsidR="00744AEA">
              <w:rPr>
                <w:noProof/>
                <w:webHidden/>
              </w:rPr>
              <w:t>4</w:t>
            </w:r>
            <w:r w:rsidR="00744AEA">
              <w:rPr>
                <w:noProof/>
                <w:webHidden/>
              </w:rPr>
              <w:fldChar w:fldCharType="end"/>
            </w:r>
          </w:hyperlink>
        </w:p>
        <w:p w14:paraId="1B50C9E2" w14:textId="77777777" w:rsidR="00744AEA" w:rsidRDefault="00985C13">
          <w:pPr>
            <w:pStyle w:val="TOC1"/>
            <w:tabs>
              <w:tab w:val="right" w:leader="dot" w:pos="9016"/>
            </w:tabs>
            <w:rPr>
              <w:rFonts w:eastAsiaTheme="minorEastAsia"/>
              <w:noProof/>
              <w:lang w:eastAsia="en-GB"/>
            </w:rPr>
          </w:pPr>
          <w:hyperlink w:anchor="_Toc440442730" w:history="1">
            <w:r w:rsidR="00744AEA" w:rsidRPr="006D5F7F">
              <w:rPr>
                <w:rStyle w:val="Hyperlink"/>
                <w:noProof/>
              </w:rPr>
              <w:t>Intermission</w:t>
            </w:r>
            <w:r w:rsidR="00744AEA">
              <w:rPr>
                <w:noProof/>
                <w:webHidden/>
              </w:rPr>
              <w:tab/>
            </w:r>
            <w:r w:rsidR="00744AEA">
              <w:rPr>
                <w:noProof/>
                <w:webHidden/>
              </w:rPr>
              <w:fldChar w:fldCharType="begin"/>
            </w:r>
            <w:r w:rsidR="00744AEA">
              <w:rPr>
                <w:noProof/>
                <w:webHidden/>
              </w:rPr>
              <w:instrText xml:space="preserve"> PAGEREF _Toc440442730 \h </w:instrText>
            </w:r>
            <w:r w:rsidR="00744AEA">
              <w:rPr>
                <w:noProof/>
                <w:webHidden/>
              </w:rPr>
            </w:r>
            <w:r w:rsidR="00744AEA">
              <w:rPr>
                <w:noProof/>
                <w:webHidden/>
              </w:rPr>
              <w:fldChar w:fldCharType="separate"/>
            </w:r>
            <w:r w:rsidR="00744AEA">
              <w:rPr>
                <w:noProof/>
                <w:webHidden/>
              </w:rPr>
              <w:t>4</w:t>
            </w:r>
            <w:r w:rsidR="00744AEA">
              <w:rPr>
                <w:noProof/>
                <w:webHidden/>
              </w:rPr>
              <w:fldChar w:fldCharType="end"/>
            </w:r>
          </w:hyperlink>
        </w:p>
        <w:p w14:paraId="055DA4BE" w14:textId="77777777" w:rsidR="00744AEA" w:rsidRDefault="00985C13">
          <w:pPr>
            <w:pStyle w:val="TOC1"/>
            <w:tabs>
              <w:tab w:val="right" w:leader="dot" w:pos="9016"/>
            </w:tabs>
            <w:rPr>
              <w:rFonts w:eastAsiaTheme="minorEastAsia"/>
              <w:noProof/>
              <w:lang w:eastAsia="en-GB"/>
            </w:rPr>
          </w:pPr>
          <w:hyperlink w:anchor="_Toc440442731" w:history="1">
            <w:r w:rsidR="00744AEA" w:rsidRPr="006D5F7F">
              <w:rPr>
                <w:rStyle w:val="Hyperlink"/>
                <w:noProof/>
              </w:rPr>
              <w:t>Achievement and Unit Certification</w:t>
            </w:r>
            <w:r w:rsidR="00744AEA">
              <w:rPr>
                <w:noProof/>
                <w:webHidden/>
              </w:rPr>
              <w:tab/>
            </w:r>
            <w:r w:rsidR="00744AEA">
              <w:rPr>
                <w:noProof/>
                <w:webHidden/>
              </w:rPr>
              <w:fldChar w:fldCharType="begin"/>
            </w:r>
            <w:r w:rsidR="00744AEA">
              <w:rPr>
                <w:noProof/>
                <w:webHidden/>
              </w:rPr>
              <w:instrText xml:space="preserve"> PAGEREF _Toc440442731 \h </w:instrText>
            </w:r>
            <w:r w:rsidR="00744AEA">
              <w:rPr>
                <w:noProof/>
                <w:webHidden/>
              </w:rPr>
            </w:r>
            <w:r w:rsidR="00744AEA">
              <w:rPr>
                <w:noProof/>
                <w:webHidden/>
              </w:rPr>
              <w:fldChar w:fldCharType="separate"/>
            </w:r>
            <w:r w:rsidR="00744AEA">
              <w:rPr>
                <w:noProof/>
                <w:webHidden/>
              </w:rPr>
              <w:t>4</w:t>
            </w:r>
            <w:r w:rsidR="00744AEA">
              <w:rPr>
                <w:noProof/>
                <w:webHidden/>
              </w:rPr>
              <w:fldChar w:fldCharType="end"/>
            </w:r>
          </w:hyperlink>
        </w:p>
        <w:p w14:paraId="7485C4FE" w14:textId="77777777" w:rsidR="00744AEA" w:rsidRDefault="00985C13">
          <w:pPr>
            <w:pStyle w:val="TOC1"/>
            <w:tabs>
              <w:tab w:val="right" w:leader="dot" w:pos="9016"/>
            </w:tabs>
            <w:rPr>
              <w:rFonts w:eastAsiaTheme="minorEastAsia"/>
              <w:noProof/>
              <w:lang w:eastAsia="en-GB"/>
            </w:rPr>
          </w:pPr>
          <w:hyperlink w:anchor="_Toc440442732" w:history="1">
            <w:r w:rsidR="00744AEA" w:rsidRPr="006D5F7F">
              <w:rPr>
                <w:rStyle w:val="Hyperlink"/>
                <w:noProof/>
              </w:rPr>
              <w:t>Formative and summative assessment, submission and resubmission</w:t>
            </w:r>
            <w:r w:rsidR="00744AEA">
              <w:rPr>
                <w:noProof/>
                <w:webHidden/>
              </w:rPr>
              <w:tab/>
            </w:r>
            <w:r w:rsidR="00744AEA">
              <w:rPr>
                <w:noProof/>
                <w:webHidden/>
              </w:rPr>
              <w:fldChar w:fldCharType="begin"/>
            </w:r>
            <w:r w:rsidR="00744AEA">
              <w:rPr>
                <w:noProof/>
                <w:webHidden/>
              </w:rPr>
              <w:instrText xml:space="preserve"> PAGEREF _Toc440442732 \h </w:instrText>
            </w:r>
            <w:r w:rsidR="00744AEA">
              <w:rPr>
                <w:noProof/>
                <w:webHidden/>
              </w:rPr>
            </w:r>
            <w:r w:rsidR="00744AEA">
              <w:rPr>
                <w:noProof/>
                <w:webHidden/>
              </w:rPr>
              <w:fldChar w:fldCharType="separate"/>
            </w:r>
            <w:r w:rsidR="00744AEA">
              <w:rPr>
                <w:noProof/>
                <w:webHidden/>
              </w:rPr>
              <w:t>5</w:t>
            </w:r>
            <w:r w:rsidR="00744AEA">
              <w:rPr>
                <w:noProof/>
                <w:webHidden/>
              </w:rPr>
              <w:fldChar w:fldCharType="end"/>
            </w:r>
          </w:hyperlink>
        </w:p>
        <w:p w14:paraId="4AE33869" w14:textId="77777777" w:rsidR="00744AEA" w:rsidRDefault="00985C13">
          <w:pPr>
            <w:pStyle w:val="TOC1"/>
            <w:tabs>
              <w:tab w:val="right" w:leader="dot" w:pos="9016"/>
            </w:tabs>
            <w:rPr>
              <w:rFonts w:eastAsiaTheme="minorEastAsia"/>
              <w:noProof/>
              <w:lang w:eastAsia="en-GB"/>
            </w:rPr>
          </w:pPr>
          <w:hyperlink w:anchor="_Toc440442733" w:history="1">
            <w:r w:rsidR="00744AEA" w:rsidRPr="006D5F7F">
              <w:rPr>
                <w:rStyle w:val="Hyperlink"/>
                <w:noProof/>
              </w:rPr>
              <w:t>Late Submission</w:t>
            </w:r>
            <w:r w:rsidR="00744AEA">
              <w:rPr>
                <w:noProof/>
                <w:webHidden/>
              </w:rPr>
              <w:tab/>
            </w:r>
            <w:r w:rsidR="00744AEA">
              <w:rPr>
                <w:noProof/>
                <w:webHidden/>
              </w:rPr>
              <w:fldChar w:fldCharType="begin"/>
            </w:r>
            <w:r w:rsidR="00744AEA">
              <w:rPr>
                <w:noProof/>
                <w:webHidden/>
              </w:rPr>
              <w:instrText xml:space="preserve"> PAGEREF _Toc440442733 \h </w:instrText>
            </w:r>
            <w:r w:rsidR="00744AEA">
              <w:rPr>
                <w:noProof/>
                <w:webHidden/>
              </w:rPr>
            </w:r>
            <w:r w:rsidR="00744AEA">
              <w:rPr>
                <w:noProof/>
                <w:webHidden/>
              </w:rPr>
              <w:fldChar w:fldCharType="separate"/>
            </w:r>
            <w:r w:rsidR="00744AEA">
              <w:rPr>
                <w:noProof/>
                <w:webHidden/>
              </w:rPr>
              <w:t>5</w:t>
            </w:r>
            <w:r w:rsidR="00744AEA">
              <w:rPr>
                <w:noProof/>
                <w:webHidden/>
              </w:rPr>
              <w:fldChar w:fldCharType="end"/>
            </w:r>
          </w:hyperlink>
        </w:p>
        <w:p w14:paraId="09F802F8" w14:textId="77777777" w:rsidR="00744AEA" w:rsidRDefault="00985C13">
          <w:pPr>
            <w:pStyle w:val="TOC1"/>
            <w:tabs>
              <w:tab w:val="right" w:leader="dot" w:pos="9016"/>
            </w:tabs>
            <w:rPr>
              <w:rFonts w:eastAsiaTheme="minorEastAsia"/>
              <w:noProof/>
              <w:lang w:eastAsia="en-GB"/>
            </w:rPr>
          </w:pPr>
          <w:hyperlink w:anchor="_Toc440442734" w:history="1">
            <w:r w:rsidR="00744AEA" w:rsidRPr="006D5F7F">
              <w:rPr>
                <w:rStyle w:val="Hyperlink"/>
                <w:noProof/>
              </w:rPr>
              <w:t>Failure of  a Unit</w:t>
            </w:r>
            <w:r w:rsidR="00744AEA">
              <w:rPr>
                <w:noProof/>
                <w:webHidden/>
              </w:rPr>
              <w:tab/>
            </w:r>
            <w:r w:rsidR="00744AEA">
              <w:rPr>
                <w:noProof/>
                <w:webHidden/>
              </w:rPr>
              <w:fldChar w:fldCharType="begin"/>
            </w:r>
            <w:r w:rsidR="00744AEA">
              <w:rPr>
                <w:noProof/>
                <w:webHidden/>
              </w:rPr>
              <w:instrText xml:space="preserve"> PAGEREF _Toc440442734 \h </w:instrText>
            </w:r>
            <w:r w:rsidR="00744AEA">
              <w:rPr>
                <w:noProof/>
                <w:webHidden/>
              </w:rPr>
            </w:r>
            <w:r w:rsidR="00744AEA">
              <w:rPr>
                <w:noProof/>
                <w:webHidden/>
              </w:rPr>
              <w:fldChar w:fldCharType="separate"/>
            </w:r>
            <w:r w:rsidR="00744AEA">
              <w:rPr>
                <w:noProof/>
                <w:webHidden/>
              </w:rPr>
              <w:t>6</w:t>
            </w:r>
            <w:r w:rsidR="00744AEA">
              <w:rPr>
                <w:noProof/>
                <w:webHidden/>
              </w:rPr>
              <w:fldChar w:fldCharType="end"/>
            </w:r>
          </w:hyperlink>
        </w:p>
        <w:p w14:paraId="0A968A03" w14:textId="77777777" w:rsidR="00744AEA" w:rsidRDefault="00985C13">
          <w:pPr>
            <w:pStyle w:val="TOC1"/>
            <w:tabs>
              <w:tab w:val="right" w:leader="dot" w:pos="9016"/>
            </w:tabs>
            <w:rPr>
              <w:rFonts w:eastAsiaTheme="minorEastAsia"/>
              <w:noProof/>
              <w:lang w:eastAsia="en-GB"/>
            </w:rPr>
          </w:pPr>
          <w:hyperlink w:anchor="_Toc440442735" w:history="1">
            <w:r w:rsidR="00744AEA" w:rsidRPr="006D5F7F">
              <w:rPr>
                <w:rStyle w:val="Hyperlink"/>
                <w:noProof/>
              </w:rPr>
              <w:t>Progression</w:t>
            </w:r>
            <w:r w:rsidR="00744AEA">
              <w:rPr>
                <w:noProof/>
                <w:webHidden/>
              </w:rPr>
              <w:tab/>
            </w:r>
            <w:r w:rsidR="00744AEA">
              <w:rPr>
                <w:noProof/>
                <w:webHidden/>
              </w:rPr>
              <w:fldChar w:fldCharType="begin"/>
            </w:r>
            <w:r w:rsidR="00744AEA">
              <w:rPr>
                <w:noProof/>
                <w:webHidden/>
              </w:rPr>
              <w:instrText xml:space="preserve"> PAGEREF _Toc440442735 \h </w:instrText>
            </w:r>
            <w:r w:rsidR="00744AEA">
              <w:rPr>
                <w:noProof/>
                <w:webHidden/>
              </w:rPr>
            </w:r>
            <w:r w:rsidR="00744AEA">
              <w:rPr>
                <w:noProof/>
                <w:webHidden/>
              </w:rPr>
              <w:fldChar w:fldCharType="separate"/>
            </w:r>
            <w:r w:rsidR="00744AEA">
              <w:rPr>
                <w:noProof/>
                <w:webHidden/>
              </w:rPr>
              <w:t>6</w:t>
            </w:r>
            <w:r w:rsidR="00744AEA">
              <w:rPr>
                <w:noProof/>
                <w:webHidden/>
              </w:rPr>
              <w:fldChar w:fldCharType="end"/>
            </w:r>
          </w:hyperlink>
        </w:p>
        <w:p w14:paraId="4C39451E" w14:textId="77777777" w:rsidR="00744AEA" w:rsidRDefault="00985C13">
          <w:pPr>
            <w:pStyle w:val="TOC1"/>
            <w:tabs>
              <w:tab w:val="right" w:leader="dot" w:pos="9016"/>
            </w:tabs>
            <w:rPr>
              <w:rFonts w:eastAsiaTheme="minorEastAsia"/>
              <w:noProof/>
              <w:lang w:eastAsia="en-GB"/>
            </w:rPr>
          </w:pPr>
          <w:hyperlink w:anchor="_Toc440442736" w:history="1">
            <w:r w:rsidR="00744AEA" w:rsidRPr="006D5F7F">
              <w:rPr>
                <w:rStyle w:val="Hyperlink"/>
                <w:noProof/>
              </w:rPr>
              <w:t>Assessment Board</w:t>
            </w:r>
            <w:r w:rsidR="00744AEA">
              <w:rPr>
                <w:noProof/>
                <w:webHidden/>
              </w:rPr>
              <w:tab/>
            </w:r>
            <w:r w:rsidR="00744AEA">
              <w:rPr>
                <w:noProof/>
                <w:webHidden/>
              </w:rPr>
              <w:fldChar w:fldCharType="begin"/>
            </w:r>
            <w:r w:rsidR="00744AEA">
              <w:rPr>
                <w:noProof/>
                <w:webHidden/>
              </w:rPr>
              <w:instrText xml:space="preserve"> PAGEREF _Toc440442736 \h </w:instrText>
            </w:r>
            <w:r w:rsidR="00744AEA">
              <w:rPr>
                <w:noProof/>
                <w:webHidden/>
              </w:rPr>
            </w:r>
            <w:r w:rsidR="00744AEA">
              <w:rPr>
                <w:noProof/>
                <w:webHidden/>
              </w:rPr>
              <w:fldChar w:fldCharType="separate"/>
            </w:r>
            <w:r w:rsidR="00744AEA">
              <w:rPr>
                <w:noProof/>
                <w:webHidden/>
              </w:rPr>
              <w:t>6</w:t>
            </w:r>
            <w:r w:rsidR="00744AEA">
              <w:rPr>
                <w:noProof/>
                <w:webHidden/>
              </w:rPr>
              <w:fldChar w:fldCharType="end"/>
            </w:r>
          </w:hyperlink>
        </w:p>
        <w:p w14:paraId="4C1D7A4C" w14:textId="77777777" w:rsidR="00744AEA" w:rsidRDefault="00985C13">
          <w:pPr>
            <w:pStyle w:val="TOC2"/>
            <w:tabs>
              <w:tab w:val="right" w:leader="dot" w:pos="9016"/>
            </w:tabs>
            <w:rPr>
              <w:rFonts w:eastAsiaTheme="minorEastAsia"/>
              <w:noProof/>
              <w:lang w:eastAsia="en-GB"/>
            </w:rPr>
          </w:pPr>
          <w:hyperlink w:anchor="_Toc440442737" w:history="1">
            <w:r w:rsidR="00744AEA" w:rsidRPr="006D5F7F">
              <w:rPr>
                <w:rStyle w:val="Hyperlink"/>
                <w:noProof/>
              </w:rPr>
              <w:t>Terms of Reference</w:t>
            </w:r>
            <w:r w:rsidR="00744AEA">
              <w:rPr>
                <w:noProof/>
                <w:webHidden/>
              </w:rPr>
              <w:tab/>
            </w:r>
            <w:r w:rsidR="00744AEA">
              <w:rPr>
                <w:noProof/>
                <w:webHidden/>
              </w:rPr>
              <w:fldChar w:fldCharType="begin"/>
            </w:r>
            <w:r w:rsidR="00744AEA">
              <w:rPr>
                <w:noProof/>
                <w:webHidden/>
              </w:rPr>
              <w:instrText xml:space="preserve"> PAGEREF _Toc440442737 \h </w:instrText>
            </w:r>
            <w:r w:rsidR="00744AEA">
              <w:rPr>
                <w:noProof/>
                <w:webHidden/>
              </w:rPr>
            </w:r>
            <w:r w:rsidR="00744AEA">
              <w:rPr>
                <w:noProof/>
                <w:webHidden/>
              </w:rPr>
              <w:fldChar w:fldCharType="separate"/>
            </w:r>
            <w:r w:rsidR="00744AEA">
              <w:rPr>
                <w:noProof/>
                <w:webHidden/>
              </w:rPr>
              <w:t>6</w:t>
            </w:r>
            <w:r w:rsidR="00744AEA">
              <w:rPr>
                <w:noProof/>
                <w:webHidden/>
              </w:rPr>
              <w:fldChar w:fldCharType="end"/>
            </w:r>
          </w:hyperlink>
        </w:p>
        <w:p w14:paraId="21E98CC1" w14:textId="77777777" w:rsidR="00744AEA" w:rsidRDefault="00985C13">
          <w:pPr>
            <w:pStyle w:val="TOC2"/>
            <w:tabs>
              <w:tab w:val="right" w:leader="dot" w:pos="9016"/>
            </w:tabs>
            <w:rPr>
              <w:rFonts w:eastAsiaTheme="minorEastAsia"/>
              <w:noProof/>
              <w:lang w:eastAsia="en-GB"/>
            </w:rPr>
          </w:pPr>
          <w:hyperlink w:anchor="_Toc440442738" w:history="1">
            <w:r w:rsidR="00744AEA" w:rsidRPr="006D5F7F">
              <w:rPr>
                <w:rStyle w:val="Hyperlink"/>
                <w:noProof/>
              </w:rPr>
              <w:t>Order of Discussion</w:t>
            </w:r>
            <w:r w:rsidR="00744AEA">
              <w:rPr>
                <w:noProof/>
                <w:webHidden/>
              </w:rPr>
              <w:tab/>
            </w:r>
            <w:r w:rsidR="00744AEA">
              <w:rPr>
                <w:noProof/>
                <w:webHidden/>
              </w:rPr>
              <w:fldChar w:fldCharType="begin"/>
            </w:r>
            <w:r w:rsidR="00744AEA">
              <w:rPr>
                <w:noProof/>
                <w:webHidden/>
              </w:rPr>
              <w:instrText xml:space="preserve"> PAGEREF _Toc440442738 \h </w:instrText>
            </w:r>
            <w:r w:rsidR="00744AEA">
              <w:rPr>
                <w:noProof/>
                <w:webHidden/>
              </w:rPr>
            </w:r>
            <w:r w:rsidR="00744AEA">
              <w:rPr>
                <w:noProof/>
                <w:webHidden/>
              </w:rPr>
              <w:fldChar w:fldCharType="separate"/>
            </w:r>
            <w:r w:rsidR="00744AEA">
              <w:rPr>
                <w:noProof/>
                <w:webHidden/>
              </w:rPr>
              <w:t>7</w:t>
            </w:r>
            <w:r w:rsidR="00744AEA">
              <w:rPr>
                <w:noProof/>
                <w:webHidden/>
              </w:rPr>
              <w:fldChar w:fldCharType="end"/>
            </w:r>
          </w:hyperlink>
        </w:p>
        <w:p w14:paraId="17C9851C" w14:textId="77777777" w:rsidR="00744AEA" w:rsidRDefault="00985C13">
          <w:pPr>
            <w:pStyle w:val="TOC2"/>
            <w:tabs>
              <w:tab w:val="right" w:leader="dot" w:pos="9016"/>
            </w:tabs>
            <w:rPr>
              <w:rFonts w:eastAsiaTheme="minorEastAsia"/>
              <w:noProof/>
              <w:lang w:eastAsia="en-GB"/>
            </w:rPr>
          </w:pPr>
          <w:hyperlink w:anchor="_Toc440442739" w:history="1">
            <w:r w:rsidR="00744AEA" w:rsidRPr="006D5F7F">
              <w:rPr>
                <w:rStyle w:val="Hyperlink"/>
                <w:noProof/>
              </w:rPr>
              <w:t>Disclosure of Results</w:t>
            </w:r>
            <w:r w:rsidR="00744AEA">
              <w:rPr>
                <w:noProof/>
                <w:webHidden/>
              </w:rPr>
              <w:tab/>
            </w:r>
            <w:r w:rsidR="00744AEA">
              <w:rPr>
                <w:noProof/>
                <w:webHidden/>
              </w:rPr>
              <w:fldChar w:fldCharType="begin"/>
            </w:r>
            <w:r w:rsidR="00744AEA">
              <w:rPr>
                <w:noProof/>
                <w:webHidden/>
              </w:rPr>
              <w:instrText xml:space="preserve"> PAGEREF _Toc440442739 \h </w:instrText>
            </w:r>
            <w:r w:rsidR="00744AEA">
              <w:rPr>
                <w:noProof/>
                <w:webHidden/>
              </w:rPr>
            </w:r>
            <w:r w:rsidR="00744AEA">
              <w:rPr>
                <w:noProof/>
                <w:webHidden/>
              </w:rPr>
              <w:fldChar w:fldCharType="separate"/>
            </w:r>
            <w:r w:rsidR="00744AEA">
              <w:rPr>
                <w:noProof/>
                <w:webHidden/>
              </w:rPr>
              <w:t>7</w:t>
            </w:r>
            <w:r w:rsidR="00744AEA">
              <w:rPr>
                <w:noProof/>
                <w:webHidden/>
              </w:rPr>
              <w:fldChar w:fldCharType="end"/>
            </w:r>
          </w:hyperlink>
        </w:p>
        <w:p w14:paraId="2904311B" w14:textId="77777777" w:rsidR="00744AEA" w:rsidRDefault="00985C13">
          <w:pPr>
            <w:pStyle w:val="TOC1"/>
            <w:tabs>
              <w:tab w:val="right" w:leader="dot" w:pos="9016"/>
            </w:tabs>
            <w:rPr>
              <w:rFonts w:eastAsiaTheme="minorEastAsia"/>
              <w:noProof/>
              <w:lang w:eastAsia="en-GB"/>
            </w:rPr>
          </w:pPr>
          <w:hyperlink w:anchor="_Toc440442740" w:history="1">
            <w:r w:rsidR="00744AEA" w:rsidRPr="006D5F7F">
              <w:rPr>
                <w:rStyle w:val="Hyperlink"/>
                <w:noProof/>
              </w:rPr>
              <w:t>Extenuating Circumstances</w:t>
            </w:r>
            <w:r w:rsidR="00744AEA">
              <w:rPr>
                <w:noProof/>
                <w:webHidden/>
              </w:rPr>
              <w:tab/>
            </w:r>
            <w:r w:rsidR="00744AEA">
              <w:rPr>
                <w:noProof/>
                <w:webHidden/>
              </w:rPr>
              <w:fldChar w:fldCharType="begin"/>
            </w:r>
            <w:r w:rsidR="00744AEA">
              <w:rPr>
                <w:noProof/>
                <w:webHidden/>
              </w:rPr>
              <w:instrText xml:space="preserve"> PAGEREF _Toc440442740 \h </w:instrText>
            </w:r>
            <w:r w:rsidR="00744AEA">
              <w:rPr>
                <w:noProof/>
                <w:webHidden/>
              </w:rPr>
            </w:r>
            <w:r w:rsidR="00744AEA">
              <w:rPr>
                <w:noProof/>
                <w:webHidden/>
              </w:rPr>
              <w:fldChar w:fldCharType="separate"/>
            </w:r>
            <w:r w:rsidR="00744AEA">
              <w:rPr>
                <w:noProof/>
                <w:webHidden/>
              </w:rPr>
              <w:t>8</w:t>
            </w:r>
            <w:r w:rsidR="00744AEA">
              <w:rPr>
                <w:noProof/>
                <w:webHidden/>
              </w:rPr>
              <w:fldChar w:fldCharType="end"/>
            </w:r>
          </w:hyperlink>
        </w:p>
        <w:p w14:paraId="20DC998D" w14:textId="77777777" w:rsidR="00744AEA" w:rsidRDefault="00985C13">
          <w:pPr>
            <w:pStyle w:val="TOC1"/>
            <w:tabs>
              <w:tab w:val="right" w:leader="dot" w:pos="9016"/>
            </w:tabs>
            <w:rPr>
              <w:rFonts w:eastAsiaTheme="minorEastAsia"/>
              <w:noProof/>
              <w:lang w:eastAsia="en-GB"/>
            </w:rPr>
          </w:pPr>
          <w:hyperlink w:anchor="_Toc440442741" w:history="1">
            <w:r w:rsidR="00744AEA" w:rsidRPr="006D5F7F">
              <w:rPr>
                <w:rStyle w:val="Hyperlink"/>
                <w:noProof/>
              </w:rPr>
              <w:t>Academic offences</w:t>
            </w:r>
            <w:r w:rsidR="00744AEA">
              <w:rPr>
                <w:noProof/>
                <w:webHidden/>
              </w:rPr>
              <w:tab/>
            </w:r>
            <w:r w:rsidR="00744AEA">
              <w:rPr>
                <w:noProof/>
                <w:webHidden/>
              </w:rPr>
              <w:fldChar w:fldCharType="begin"/>
            </w:r>
            <w:r w:rsidR="00744AEA">
              <w:rPr>
                <w:noProof/>
                <w:webHidden/>
              </w:rPr>
              <w:instrText xml:space="preserve"> PAGEREF _Toc440442741 \h </w:instrText>
            </w:r>
            <w:r w:rsidR="00744AEA">
              <w:rPr>
                <w:noProof/>
                <w:webHidden/>
              </w:rPr>
            </w:r>
            <w:r w:rsidR="00744AEA">
              <w:rPr>
                <w:noProof/>
                <w:webHidden/>
              </w:rPr>
              <w:fldChar w:fldCharType="separate"/>
            </w:r>
            <w:r w:rsidR="00744AEA">
              <w:rPr>
                <w:noProof/>
                <w:webHidden/>
              </w:rPr>
              <w:t>8</w:t>
            </w:r>
            <w:r w:rsidR="00744AEA">
              <w:rPr>
                <w:noProof/>
                <w:webHidden/>
              </w:rPr>
              <w:fldChar w:fldCharType="end"/>
            </w:r>
          </w:hyperlink>
        </w:p>
        <w:p w14:paraId="49FB674D" w14:textId="77777777" w:rsidR="00744AEA" w:rsidRDefault="00985C13">
          <w:pPr>
            <w:pStyle w:val="TOC1"/>
            <w:tabs>
              <w:tab w:val="right" w:leader="dot" w:pos="9016"/>
            </w:tabs>
            <w:rPr>
              <w:rFonts w:eastAsiaTheme="minorEastAsia"/>
              <w:noProof/>
              <w:lang w:eastAsia="en-GB"/>
            </w:rPr>
          </w:pPr>
          <w:hyperlink w:anchor="_Toc440442742" w:history="1">
            <w:r w:rsidR="00744AEA" w:rsidRPr="006D5F7F">
              <w:rPr>
                <w:rStyle w:val="Hyperlink"/>
                <w:noProof/>
              </w:rPr>
              <w:t>Right of Appeal</w:t>
            </w:r>
            <w:r w:rsidR="00744AEA">
              <w:rPr>
                <w:noProof/>
                <w:webHidden/>
              </w:rPr>
              <w:tab/>
            </w:r>
            <w:r w:rsidR="00744AEA">
              <w:rPr>
                <w:noProof/>
                <w:webHidden/>
              </w:rPr>
              <w:fldChar w:fldCharType="begin"/>
            </w:r>
            <w:r w:rsidR="00744AEA">
              <w:rPr>
                <w:noProof/>
                <w:webHidden/>
              </w:rPr>
              <w:instrText xml:space="preserve"> PAGEREF _Toc440442742 \h </w:instrText>
            </w:r>
            <w:r w:rsidR="00744AEA">
              <w:rPr>
                <w:noProof/>
                <w:webHidden/>
              </w:rPr>
            </w:r>
            <w:r w:rsidR="00744AEA">
              <w:rPr>
                <w:noProof/>
                <w:webHidden/>
              </w:rPr>
              <w:fldChar w:fldCharType="separate"/>
            </w:r>
            <w:r w:rsidR="00744AEA">
              <w:rPr>
                <w:noProof/>
                <w:webHidden/>
              </w:rPr>
              <w:t>8</w:t>
            </w:r>
            <w:r w:rsidR="00744AEA">
              <w:rPr>
                <w:noProof/>
                <w:webHidden/>
              </w:rPr>
              <w:fldChar w:fldCharType="end"/>
            </w:r>
          </w:hyperlink>
        </w:p>
        <w:p w14:paraId="7A371345" w14:textId="7D886E61" w:rsidR="00744AEA" w:rsidRPr="002B0C82" w:rsidRDefault="00744AEA">
          <w:r>
            <w:rPr>
              <w:b/>
              <w:bCs/>
              <w:noProof/>
            </w:rPr>
            <w:fldChar w:fldCharType="end"/>
          </w:r>
        </w:p>
      </w:sdtContent>
    </w:sdt>
    <w:p w14:paraId="11707025" w14:textId="77777777" w:rsidR="00E76586" w:rsidRDefault="00E76586"/>
    <w:p w14:paraId="218AF49D" w14:textId="77777777" w:rsidR="00E76586" w:rsidRDefault="00E76586"/>
    <w:p w14:paraId="6AD6F536" w14:textId="77777777" w:rsidR="00E76586" w:rsidRDefault="00E76586"/>
    <w:p w14:paraId="538A1213" w14:textId="77777777" w:rsidR="00E76586" w:rsidRDefault="00E76586"/>
    <w:p w14:paraId="72E44DAC" w14:textId="77777777" w:rsidR="00E76586" w:rsidRDefault="00E76586"/>
    <w:p w14:paraId="3B84B978" w14:textId="77777777" w:rsidR="00E76586" w:rsidRDefault="00E76586"/>
    <w:p w14:paraId="6DCBFF57" w14:textId="77777777" w:rsidR="00E76586" w:rsidRDefault="00E76586"/>
    <w:p w14:paraId="460FA923" w14:textId="77777777" w:rsidR="00E76586" w:rsidRDefault="00E76586"/>
    <w:p w14:paraId="61D8795B" w14:textId="77777777" w:rsidR="00E76586" w:rsidRDefault="00E76586"/>
    <w:p w14:paraId="48B48980" w14:textId="77777777" w:rsidR="009074DB" w:rsidRDefault="009074DB"/>
    <w:p w14:paraId="510BCD7D" w14:textId="77777777" w:rsidR="00903BBC" w:rsidRDefault="00903BBC"/>
    <w:tbl>
      <w:tblPr>
        <w:tblStyle w:val="TableGrid"/>
        <w:tblW w:w="9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644"/>
        <w:gridCol w:w="7853"/>
        <w:gridCol w:w="9"/>
      </w:tblGrid>
      <w:tr w:rsidR="00A64C16" w14:paraId="7D21D6B4" w14:textId="77777777" w:rsidTr="004C192A">
        <w:tc>
          <w:tcPr>
            <w:tcW w:w="521" w:type="dxa"/>
          </w:tcPr>
          <w:p w14:paraId="4CD71405" w14:textId="77777777" w:rsidR="00A64C16" w:rsidRDefault="00A64C16">
            <w:r>
              <w:lastRenderedPageBreak/>
              <w:t>1.</w:t>
            </w:r>
          </w:p>
        </w:tc>
        <w:tc>
          <w:tcPr>
            <w:tcW w:w="8506" w:type="dxa"/>
            <w:gridSpan w:val="3"/>
          </w:tcPr>
          <w:p w14:paraId="7227D4F6" w14:textId="61212619" w:rsidR="00A64C16" w:rsidRPr="00AB0A1B" w:rsidRDefault="00A64C16" w:rsidP="00BF5614">
            <w:pPr>
              <w:pStyle w:val="Heading1"/>
              <w:outlineLvl w:val="0"/>
            </w:pPr>
            <w:bookmarkStart w:id="1" w:name="_Toc440442726"/>
            <w:r w:rsidRPr="00AB0A1B">
              <w:t>Policy Statement</w:t>
            </w:r>
            <w:bookmarkEnd w:id="1"/>
          </w:p>
        </w:tc>
      </w:tr>
      <w:tr w:rsidR="00A64C16" w14:paraId="49C442AF" w14:textId="77777777" w:rsidTr="004C192A">
        <w:tc>
          <w:tcPr>
            <w:tcW w:w="521" w:type="dxa"/>
          </w:tcPr>
          <w:p w14:paraId="1636A29E" w14:textId="77777777" w:rsidR="00A64C16" w:rsidRDefault="00A64C16"/>
        </w:tc>
        <w:tc>
          <w:tcPr>
            <w:tcW w:w="8506" w:type="dxa"/>
            <w:gridSpan w:val="3"/>
          </w:tcPr>
          <w:p w14:paraId="4909382D" w14:textId="779566AE" w:rsidR="00565EC9" w:rsidRPr="00AB0A1B" w:rsidRDefault="00565EC9" w:rsidP="00565EC9">
            <w:pPr>
              <w:autoSpaceDE w:val="0"/>
              <w:autoSpaceDN w:val="0"/>
              <w:adjustRightInd w:val="0"/>
              <w:rPr>
                <w:sz w:val="24"/>
                <w:szCs w:val="24"/>
              </w:rPr>
            </w:pPr>
            <w:r w:rsidRPr="00AB0A1B">
              <w:rPr>
                <w:sz w:val="24"/>
                <w:szCs w:val="24"/>
              </w:rPr>
              <w:t>The College is committed to ensuring that standards of assessment are explicit valid and reliable</w:t>
            </w:r>
            <w:r w:rsidR="0035304C">
              <w:rPr>
                <w:sz w:val="24"/>
                <w:szCs w:val="24"/>
              </w:rPr>
              <w:t xml:space="preserve"> and t</w:t>
            </w:r>
            <w:r w:rsidRPr="00AB0A1B">
              <w:rPr>
                <w:sz w:val="24"/>
                <w:szCs w:val="24"/>
              </w:rPr>
              <w:t>hat assessment is conducted with rigour, probity and fairness, meet</w:t>
            </w:r>
            <w:r w:rsidR="0035304C">
              <w:rPr>
                <w:sz w:val="24"/>
                <w:szCs w:val="24"/>
              </w:rPr>
              <w:t>ing</w:t>
            </w:r>
            <w:r w:rsidRPr="00AB0A1B">
              <w:rPr>
                <w:sz w:val="24"/>
                <w:szCs w:val="24"/>
              </w:rPr>
              <w:t xml:space="preserve"> the requirements </w:t>
            </w:r>
            <w:r w:rsidR="0035304C">
              <w:rPr>
                <w:sz w:val="24"/>
                <w:szCs w:val="24"/>
              </w:rPr>
              <w:t xml:space="preserve">and expectations </w:t>
            </w:r>
            <w:r w:rsidRPr="00AB0A1B">
              <w:rPr>
                <w:sz w:val="24"/>
                <w:szCs w:val="24"/>
              </w:rPr>
              <w:t xml:space="preserve">of the awarding </w:t>
            </w:r>
            <w:r w:rsidR="0035304C">
              <w:rPr>
                <w:sz w:val="24"/>
                <w:szCs w:val="24"/>
              </w:rPr>
              <w:t>organisations concerned. Assessments should also</w:t>
            </w:r>
            <w:r w:rsidRPr="00AB0A1B">
              <w:rPr>
                <w:sz w:val="24"/>
                <w:szCs w:val="24"/>
              </w:rPr>
              <w:t xml:space="preserve"> promote quality and equality.</w:t>
            </w:r>
          </w:p>
          <w:p w14:paraId="01BCF9B5" w14:textId="77777777" w:rsidR="00A64C16" w:rsidRPr="00AB0A1B" w:rsidRDefault="00A64C16"/>
        </w:tc>
      </w:tr>
      <w:tr w:rsidR="00A64C16" w14:paraId="7B75060B" w14:textId="77777777" w:rsidTr="004C192A">
        <w:tc>
          <w:tcPr>
            <w:tcW w:w="521" w:type="dxa"/>
          </w:tcPr>
          <w:p w14:paraId="093F1AAE" w14:textId="77777777" w:rsidR="00A64C16" w:rsidRDefault="00A64C16">
            <w:r>
              <w:t>2.</w:t>
            </w:r>
          </w:p>
        </w:tc>
        <w:tc>
          <w:tcPr>
            <w:tcW w:w="8506" w:type="dxa"/>
            <w:gridSpan w:val="3"/>
          </w:tcPr>
          <w:p w14:paraId="54EF4D4A" w14:textId="7025A804" w:rsidR="00A64C16" w:rsidRPr="00AB0A1B" w:rsidRDefault="00A64C16" w:rsidP="00710D44">
            <w:pPr>
              <w:pStyle w:val="Heading1"/>
              <w:outlineLvl w:val="0"/>
            </w:pPr>
            <w:bookmarkStart w:id="2" w:name="_Toc440442727"/>
            <w:r w:rsidRPr="00AB0A1B">
              <w:t>Scope</w:t>
            </w:r>
            <w:bookmarkEnd w:id="2"/>
          </w:p>
        </w:tc>
      </w:tr>
      <w:tr w:rsidR="00A64C16" w14:paraId="4DE4E5B2" w14:textId="77777777" w:rsidTr="004C192A">
        <w:tc>
          <w:tcPr>
            <w:tcW w:w="521" w:type="dxa"/>
          </w:tcPr>
          <w:p w14:paraId="5375BEFE" w14:textId="77777777" w:rsidR="00A64C16" w:rsidRDefault="00A64C16"/>
        </w:tc>
        <w:tc>
          <w:tcPr>
            <w:tcW w:w="8506" w:type="dxa"/>
            <w:gridSpan w:val="3"/>
          </w:tcPr>
          <w:p w14:paraId="672CFECC" w14:textId="0C071BF0" w:rsidR="00565EC9" w:rsidRPr="00AB0A1B" w:rsidRDefault="00565EC9" w:rsidP="00565EC9">
            <w:pPr>
              <w:autoSpaceDE w:val="0"/>
              <w:autoSpaceDN w:val="0"/>
              <w:adjustRightInd w:val="0"/>
              <w:jc w:val="both"/>
              <w:rPr>
                <w:sz w:val="24"/>
                <w:szCs w:val="24"/>
              </w:rPr>
            </w:pPr>
            <w:r w:rsidRPr="00AB0A1B">
              <w:rPr>
                <w:sz w:val="24"/>
                <w:szCs w:val="24"/>
              </w:rPr>
              <w:t xml:space="preserve">These regulations apply to all Pearson BTEC HNC/HND </w:t>
            </w:r>
            <w:r w:rsidR="00B43B1C">
              <w:rPr>
                <w:sz w:val="24"/>
                <w:szCs w:val="24"/>
              </w:rPr>
              <w:t>qualifications</w:t>
            </w:r>
            <w:r w:rsidR="00B43B1C" w:rsidRPr="00AB0A1B">
              <w:rPr>
                <w:sz w:val="24"/>
                <w:szCs w:val="24"/>
              </w:rPr>
              <w:t xml:space="preserve"> </w:t>
            </w:r>
            <w:r w:rsidRPr="00AB0A1B">
              <w:rPr>
                <w:sz w:val="24"/>
                <w:szCs w:val="24"/>
              </w:rPr>
              <w:t>offered by South Essex College. Th</w:t>
            </w:r>
            <w:r w:rsidR="00B43B1C">
              <w:rPr>
                <w:sz w:val="24"/>
                <w:szCs w:val="24"/>
              </w:rPr>
              <w:t>ese</w:t>
            </w:r>
            <w:r w:rsidRPr="00AB0A1B">
              <w:rPr>
                <w:sz w:val="24"/>
                <w:szCs w:val="24"/>
              </w:rPr>
              <w:t xml:space="preserve"> regulations are based on </w:t>
            </w:r>
            <w:r w:rsidR="00B43B1C">
              <w:rPr>
                <w:sz w:val="24"/>
                <w:szCs w:val="24"/>
              </w:rPr>
              <w:t xml:space="preserve">the </w:t>
            </w:r>
            <w:r w:rsidRPr="00AB0A1B">
              <w:rPr>
                <w:sz w:val="24"/>
                <w:szCs w:val="24"/>
              </w:rPr>
              <w:t xml:space="preserve">BTEC Centre Guide to Assessment </w:t>
            </w:r>
            <w:r w:rsidR="00B43B1C">
              <w:rPr>
                <w:sz w:val="24"/>
                <w:szCs w:val="24"/>
              </w:rPr>
              <w:t xml:space="preserve">2015-16 </w:t>
            </w:r>
            <w:r w:rsidRPr="00AB0A1B">
              <w:rPr>
                <w:sz w:val="24"/>
                <w:szCs w:val="24"/>
              </w:rPr>
              <w:t xml:space="preserve">and the QAA </w:t>
            </w:r>
            <w:r w:rsidR="00B43B1C">
              <w:rPr>
                <w:sz w:val="24"/>
                <w:szCs w:val="24"/>
              </w:rPr>
              <w:t xml:space="preserve">UK </w:t>
            </w:r>
            <w:r w:rsidRPr="00AB0A1B">
              <w:rPr>
                <w:sz w:val="24"/>
                <w:szCs w:val="24"/>
              </w:rPr>
              <w:t xml:space="preserve">Quality Code </w:t>
            </w:r>
            <w:r w:rsidR="00B43B1C">
              <w:rPr>
                <w:sz w:val="24"/>
                <w:szCs w:val="24"/>
              </w:rPr>
              <w:t>for Higher Education (the Quality Code).</w:t>
            </w:r>
          </w:p>
          <w:p w14:paraId="4437C0DC" w14:textId="77777777" w:rsidR="00565EC9" w:rsidRPr="00AB0A1B" w:rsidRDefault="00565EC9" w:rsidP="00565EC9">
            <w:pPr>
              <w:autoSpaceDE w:val="0"/>
              <w:autoSpaceDN w:val="0"/>
              <w:adjustRightInd w:val="0"/>
              <w:jc w:val="both"/>
              <w:rPr>
                <w:sz w:val="24"/>
                <w:szCs w:val="24"/>
              </w:rPr>
            </w:pPr>
          </w:p>
          <w:p w14:paraId="29EE8F37" w14:textId="07C76B0E" w:rsidR="00565EC9" w:rsidRPr="00AB0A1B" w:rsidRDefault="00565EC9" w:rsidP="00565EC9">
            <w:pPr>
              <w:autoSpaceDE w:val="0"/>
              <w:autoSpaceDN w:val="0"/>
              <w:adjustRightInd w:val="0"/>
              <w:jc w:val="both"/>
              <w:rPr>
                <w:sz w:val="24"/>
                <w:szCs w:val="24"/>
              </w:rPr>
            </w:pPr>
            <w:r w:rsidRPr="00AB0A1B">
              <w:rPr>
                <w:sz w:val="24"/>
                <w:szCs w:val="24"/>
              </w:rPr>
              <w:t xml:space="preserve">These regulations are reviewed annually and </w:t>
            </w:r>
            <w:r w:rsidR="00B43B1C">
              <w:rPr>
                <w:sz w:val="24"/>
                <w:szCs w:val="24"/>
              </w:rPr>
              <w:t xml:space="preserve">are aligned to updates of the BTEC centre guide and Quality Code. </w:t>
            </w:r>
            <w:r w:rsidRPr="00AB0A1B">
              <w:rPr>
                <w:sz w:val="24"/>
                <w:szCs w:val="24"/>
              </w:rPr>
              <w:t>These Assessment Regulations, and any proposed amendments, are approved by the College's Higher Education Committee.</w:t>
            </w:r>
          </w:p>
          <w:p w14:paraId="3FF8FBE9" w14:textId="77777777" w:rsidR="00A64C16" w:rsidRPr="00AB0A1B" w:rsidRDefault="00A64C16"/>
        </w:tc>
      </w:tr>
      <w:tr w:rsidR="00A64C16" w14:paraId="5A3937B6" w14:textId="77777777" w:rsidTr="004C192A">
        <w:tc>
          <w:tcPr>
            <w:tcW w:w="521" w:type="dxa"/>
          </w:tcPr>
          <w:p w14:paraId="614CC583" w14:textId="77777777" w:rsidR="00A64C16" w:rsidRDefault="00A64C16">
            <w:r>
              <w:t>3.</w:t>
            </w:r>
          </w:p>
        </w:tc>
        <w:tc>
          <w:tcPr>
            <w:tcW w:w="8506" w:type="dxa"/>
            <w:gridSpan w:val="3"/>
          </w:tcPr>
          <w:p w14:paraId="5942295A" w14:textId="63689218" w:rsidR="00A64C16" w:rsidRPr="00AB0A1B" w:rsidRDefault="00A64C16" w:rsidP="00710D44">
            <w:pPr>
              <w:pStyle w:val="Heading1"/>
              <w:outlineLvl w:val="0"/>
            </w:pPr>
            <w:bookmarkStart w:id="3" w:name="_Toc440442728"/>
            <w:r w:rsidRPr="00AB0A1B">
              <w:t>Responsibilities</w:t>
            </w:r>
            <w:r w:rsidR="00590C61">
              <w:t xml:space="preserve"> in the context of these assessment regulations</w:t>
            </w:r>
            <w:bookmarkEnd w:id="3"/>
          </w:p>
        </w:tc>
      </w:tr>
      <w:tr w:rsidR="00A64C16" w14:paraId="4EFD6EB5" w14:textId="77777777" w:rsidTr="004C192A">
        <w:tc>
          <w:tcPr>
            <w:tcW w:w="521" w:type="dxa"/>
          </w:tcPr>
          <w:p w14:paraId="601B2F09" w14:textId="77777777" w:rsidR="00A64C16" w:rsidRDefault="00A64C16"/>
        </w:tc>
        <w:tc>
          <w:tcPr>
            <w:tcW w:w="8506" w:type="dxa"/>
            <w:gridSpan w:val="3"/>
          </w:tcPr>
          <w:p w14:paraId="0DE85805" w14:textId="747CADD5" w:rsidR="00565EC9" w:rsidRPr="00AB0A1B" w:rsidRDefault="00565EC9" w:rsidP="00565EC9">
            <w:pPr>
              <w:pStyle w:val="BodyText"/>
              <w:ind w:left="360"/>
              <w:rPr>
                <w:rFonts w:asciiTheme="minorHAnsi" w:hAnsiTheme="minorHAnsi" w:cs="Arial"/>
                <w:spacing w:val="-3"/>
              </w:rPr>
            </w:pPr>
            <w:r w:rsidRPr="00AB0A1B">
              <w:rPr>
                <w:rFonts w:asciiTheme="minorHAnsi" w:hAnsiTheme="minorHAnsi" w:cs="Arial"/>
                <w:spacing w:val="-3"/>
              </w:rPr>
              <w:t xml:space="preserve">The  College will ensure that students have access to Pearson BTEC HNC/HND </w:t>
            </w:r>
            <w:r w:rsidR="00BD505B">
              <w:rPr>
                <w:rFonts w:asciiTheme="minorHAnsi" w:hAnsiTheme="minorHAnsi" w:cs="Arial"/>
                <w:spacing w:val="-3"/>
              </w:rPr>
              <w:t>assessment r</w:t>
            </w:r>
            <w:r w:rsidRPr="00AB0A1B">
              <w:rPr>
                <w:rFonts w:asciiTheme="minorHAnsi" w:hAnsiTheme="minorHAnsi" w:cs="Arial"/>
                <w:spacing w:val="-3"/>
              </w:rPr>
              <w:t>egulations and ancillary assessment policies and procedures. These include:</w:t>
            </w:r>
          </w:p>
          <w:p w14:paraId="258572F0" w14:textId="77777777" w:rsidR="00565EC9" w:rsidRPr="00AB0A1B" w:rsidRDefault="00CD5C16" w:rsidP="00565EC9">
            <w:pPr>
              <w:pStyle w:val="BodyText"/>
              <w:numPr>
                <w:ilvl w:val="0"/>
                <w:numId w:val="3"/>
              </w:numPr>
              <w:spacing w:after="0"/>
              <w:rPr>
                <w:rFonts w:asciiTheme="minorHAnsi" w:hAnsiTheme="minorHAnsi" w:cs="Arial"/>
                <w:bCs/>
                <w:spacing w:val="-3"/>
              </w:rPr>
            </w:pPr>
            <w:r>
              <w:rPr>
                <w:rFonts w:asciiTheme="minorHAnsi" w:hAnsiTheme="minorHAnsi" w:cs="Arial"/>
                <w:bCs/>
                <w:spacing w:val="-3"/>
              </w:rPr>
              <w:t>Academic offences;</w:t>
            </w:r>
          </w:p>
          <w:p w14:paraId="0B9720BB"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Extenuating circumstances; </w:t>
            </w:r>
          </w:p>
          <w:p w14:paraId="3FCF5A9C"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Complaints;</w:t>
            </w:r>
          </w:p>
          <w:p w14:paraId="10D3E0C0"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Appeals;</w:t>
            </w:r>
          </w:p>
          <w:p w14:paraId="2B61E391" w14:textId="77777777" w:rsidR="00565EC9"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Intermission;</w:t>
            </w:r>
          </w:p>
          <w:p w14:paraId="7D693E5F" w14:textId="1038094A" w:rsidR="00590C61" w:rsidRDefault="00590C61" w:rsidP="00565EC9">
            <w:pPr>
              <w:pStyle w:val="BodyText"/>
              <w:numPr>
                <w:ilvl w:val="0"/>
                <w:numId w:val="3"/>
              </w:numPr>
              <w:spacing w:after="0"/>
              <w:rPr>
                <w:rFonts w:asciiTheme="minorHAnsi" w:hAnsiTheme="minorHAnsi" w:cs="Arial"/>
                <w:bCs/>
                <w:spacing w:val="-3"/>
              </w:rPr>
            </w:pPr>
            <w:r>
              <w:rPr>
                <w:rFonts w:asciiTheme="minorHAnsi" w:hAnsiTheme="minorHAnsi" w:cs="Arial"/>
                <w:bCs/>
                <w:spacing w:val="-3"/>
              </w:rPr>
              <w:t>Reasonable adjustments</w:t>
            </w:r>
          </w:p>
          <w:p w14:paraId="656405E5" w14:textId="77777777" w:rsidR="00565EC9" w:rsidRPr="00AB0A1B" w:rsidRDefault="00565EC9" w:rsidP="00565EC9">
            <w:pPr>
              <w:pStyle w:val="BodyText"/>
              <w:numPr>
                <w:ilvl w:val="0"/>
                <w:numId w:val="3"/>
              </w:numPr>
              <w:spacing w:after="0"/>
              <w:rPr>
                <w:rFonts w:asciiTheme="minorHAnsi" w:hAnsiTheme="minorHAnsi" w:cs="Arial"/>
                <w:bCs/>
                <w:spacing w:val="-3"/>
              </w:rPr>
            </w:pPr>
            <w:r w:rsidRPr="00AB0A1B">
              <w:rPr>
                <w:rFonts w:asciiTheme="minorHAnsi" w:hAnsiTheme="minorHAnsi" w:cs="Arial"/>
                <w:bCs/>
                <w:spacing w:val="-3"/>
              </w:rPr>
              <w:t xml:space="preserve">Special Examination </w:t>
            </w:r>
            <w:r w:rsidR="00CD5C16">
              <w:rPr>
                <w:rFonts w:asciiTheme="minorHAnsi" w:hAnsiTheme="minorHAnsi" w:cs="Arial"/>
                <w:bCs/>
                <w:spacing w:val="-3"/>
              </w:rPr>
              <w:t>(Assessment</w:t>
            </w:r>
            <w:r w:rsidR="00E32CFA">
              <w:rPr>
                <w:rFonts w:asciiTheme="minorHAnsi" w:hAnsiTheme="minorHAnsi" w:cs="Arial"/>
                <w:bCs/>
                <w:spacing w:val="-3"/>
              </w:rPr>
              <w:t xml:space="preserve">) </w:t>
            </w:r>
            <w:r w:rsidRPr="00AB0A1B">
              <w:rPr>
                <w:rFonts w:asciiTheme="minorHAnsi" w:hAnsiTheme="minorHAnsi" w:cs="Arial"/>
                <w:bCs/>
                <w:spacing w:val="-3"/>
              </w:rPr>
              <w:t>Arrangements</w:t>
            </w:r>
            <w:r w:rsidRPr="00AB0A1B">
              <w:rPr>
                <w:rFonts w:asciiTheme="minorHAnsi" w:hAnsiTheme="minorHAnsi" w:cs="Arial"/>
                <w:bCs/>
                <w:color w:val="FF0000"/>
                <w:spacing w:val="-3"/>
              </w:rPr>
              <w:t xml:space="preserve">. </w:t>
            </w:r>
          </w:p>
          <w:p w14:paraId="49430253" w14:textId="77777777" w:rsidR="00565EC9" w:rsidRPr="00AB0A1B" w:rsidRDefault="00565EC9" w:rsidP="00565EC9">
            <w:pPr>
              <w:tabs>
                <w:tab w:val="left" w:pos="-720"/>
              </w:tabs>
              <w:suppressAutoHyphens/>
              <w:spacing w:line="240" w:lineRule="atLeast"/>
              <w:jc w:val="both"/>
              <w:rPr>
                <w:bCs/>
                <w:spacing w:val="-3"/>
                <w:sz w:val="24"/>
              </w:rPr>
            </w:pPr>
          </w:p>
          <w:p w14:paraId="2ABD05B7" w14:textId="0F86EB9A" w:rsidR="00565EC9" w:rsidRPr="00AB0A1B" w:rsidRDefault="00565EC9" w:rsidP="00565EC9">
            <w:pPr>
              <w:ind w:left="720"/>
              <w:rPr>
                <w:sz w:val="24"/>
                <w:szCs w:val="24"/>
              </w:rPr>
            </w:pPr>
            <w:r w:rsidRPr="00AB0A1B">
              <w:rPr>
                <w:b/>
                <w:sz w:val="24"/>
                <w:szCs w:val="24"/>
              </w:rPr>
              <w:t xml:space="preserve">Programme Leader: </w:t>
            </w:r>
            <w:r w:rsidRPr="00AB0A1B">
              <w:rPr>
                <w:sz w:val="24"/>
                <w:szCs w:val="24"/>
              </w:rPr>
              <w:t xml:space="preserve">This is the person who is responsible for a particular </w:t>
            </w:r>
            <w:r w:rsidR="00BD505B">
              <w:rPr>
                <w:sz w:val="24"/>
                <w:szCs w:val="24"/>
              </w:rPr>
              <w:t>programme</w:t>
            </w:r>
            <w:r w:rsidR="00BD505B" w:rsidRPr="00AB0A1B">
              <w:rPr>
                <w:sz w:val="24"/>
                <w:szCs w:val="24"/>
              </w:rPr>
              <w:t xml:space="preserve"> </w:t>
            </w:r>
            <w:r w:rsidRPr="00AB0A1B">
              <w:rPr>
                <w:sz w:val="24"/>
                <w:szCs w:val="24"/>
              </w:rPr>
              <w:t xml:space="preserve">will ensure that </w:t>
            </w:r>
            <w:r w:rsidR="00BD505B">
              <w:rPr>
                <w:sz w:val="24"/>
                <w:szCs w:val="24"/>
              </w:rPr>
              <w:t>programme</w:t>
            </w:r>
            <w:r w:rsidRPr="00AB0A1B">
              <w:rPr>
                <w:sz w:val="24"/>
                <w:szCs w:val="24"/>
              </w:rPr>
              <w:t xml:space="preserve"> requirements are published. This </w:t>
            </w:r>
            <w:r w:rsidR="00BD505B">
              <w:rPr>
                <w:sz w:val="24"/>
                <w:szCs w:val="24"/>
              </w:rPr>
              <w:t>will</w:t>
            </w:r>
            <w:r w:rsidR="00BD505B" w:rsidRPr="00AB0A1B">
              <w:rPr>
                <w:sz w:val="24"/>
                <w:szCs w:val="24"/>
              </w:rPr>
              <w:t xml:space="preserve"> </w:t>
            </w:r>
            <w:r w:rsidRPr="00AB0A1B">
              <w:rPr>
                <w:sz w:val="24"/>
                <w:szCs w:val="24"/>
              </w:rPr>
              <w:t>include:</w:t>
            </w:r>
          </w:p>
          <w:p w14:paraId="309115F9" w14:textId="77777777" w:rsidR="00565EC9" w:rsidRPr="00AB0A1B" w:rsidRDefault="00565EC9" w:rsidP="00565EC9">
            <w:pPr>
              <w:rPr>
                <w:bCs/>
                <w:spacing w:val="-3"/>
                <w:sz w:val="24"/>
              </w:rPr>
            </w:pPr>
          </w:p>
          <w:p w14:paraId="4904B8CA" w14:textId="46092359" w:rsidR="00565EC9" w:rsidRPr="00AB0A1B" w:rsidRDefault="00BD505B" w:rsidP="00565EC9">
            <w:pPr>
              <w:numPr>
                <w:ilvl w:val="0"/>
                <w:numId w:val="4"/>
              </w:numPr>
              <w:tabs>
                <w:tab w:val="left" w:pos="-720"/>
              </w:tabs>
              <w:suppressAutoHyphens/>
              <w:spacing w:line="240" w:lineRule="atLeast"/>
              <w:jc w:val="both"/>
              <w:rPr>
                <w:bCs/>
                <w:spacing w:val="-3"/>
                <w:sz w:val="24"/>
              </w:rPr>
            </w:pPr>
            <w:r>
              <w:rPr>
                <w:bCs/>
                <w:spacing w:val="-3"/>
                <w:sz w:val="24"/>
              </w:rPr>
              <w:t>A s</w:t>
            </w:r>
            <w:r w:rsidR="00565EC9" w:rsidRPr="00AB0A1B">
              <w:rPr>
                <w:bCs/>
                <w:spacing w:val="-3"/>
                <w:sz w:val="24"/>
              </w:rPr>
              <w:t>tudent programme handbook</w:t>
            </w:r>
            <w:r>
              <w:rPr>
                <w:bCs/>
                <w:spacing w:val="-3"/>
                <w:sz w:val="24"/>
              </w:rPr>
              <w:t>,</w:t>
            </w:r>
            <w:r w:rsidR="00565EC9" w:rsidRPr="00AB0A1B">
              <w:rPr>
                <w:bCs/>
                <w:spacing w:val="-3"/>
                <w:sz w:val="24"/>
              </w:rPr>
              <w:t xml:space="preserve"> </w:t>
            </w:r>
            <w:r w:rsidR="00E32CFA">
              <w:rPr>
                <w:bCs/>
                <w:spacing w:val="-3"/>
                <w:sz w:val="24"/>
              </w:rPr>
              <w:t xml:space="preserve">including assessment schedule; </w:t>
            </w:r>
          </w:p>
          <w:p w14:paraId="5531F439" w14:textId="41B8C276" w:rsidR="00E32CFA" w:rsidRPr="00AB0A1B" w:rsidRDefault="00BD505B" w:rsidP="00E32CFA">
            <w:pPr>
              <w:numPr>
                <w:ilvl w:val="0"/>
                <w:numId w:val="4"/>
              </w:numPr>
              <w:tabs>
                <w:tab w:val="left" w:pos="-720"/>
              </w:tabs>
              <w:suppressAutoHyphens/>
              <w:spacing w:line="240" w:lineRule="atLeast"/>
              <w:jc w:val="both"/>
              <w:rPr>
                <w:bCs/>
                <w:spacing w:val="-3"/>
                <w:sz w:val="24"/>
              </w:rPr>
            </w:pPr>
            <w:r>
              <w:rPr>
                <w:bCs/>
                <w:spacing w:val="-3"/>
                <w:sz w:val="24"/>
              </w:rPr>
              <w:t>A p</w:t>
            </w:r>
            <w:r w:rsidR="00565EC9" w:rsidRPr="00E32CFA">
              <w:rPr>
                <w:bCs/>
                <w:spacing w:val="-3"/>
                <w:sz w:val="24"/>
              </w:rPr>
              <w:t>rogramme specification</w:t>
            </w:r>
            <w:r>
              <w:rPr>
                <w:bCs/>
                <w:spacing w:val="-3"/>
                <w:sz w:val="24"/>
              </w:rPr>
              <w:t xml:space="preserve"> (staff and student versions)</w:t>
            </w:r>
            <w:r w:rsidR="00FC79D3">
              <w:rPr>
                <w:rStyle w:val="FootnoteReference"/>
                <w:bCs/>
                <w:spacing w:val="-3"/>
                <w:sz w:val="24"/>
              </w:rPr>
              <w:footnoteReference w:id="1"/>
            </w:r>
            <w:r w:rsidR="00FC79D3">
              <w:rPr>
                <w:bCs/>
                <w:spacing w:val="-3"/>
                <w:sz w:val="24"/>
              </w:rPr>
              <w:t>,</w:t>
            </w:r>
            <w:r w:rsidR="00E32CFA">
              <w:rPr>
                <w:bCs/>
                <w:spacing w:val="-3"/>
                <w:sz w:val="24"/>
              </w:rPr>
              <w:t xml:space="preserve"> including</w:t>
            </w:r>
            <w:r w:rsidR="00565EC9" w:rsidRPr="00AB0A1B">
              <w:rPr>
                <w:bCs/>
                <w:i/>
                <w:spacing w:val="-3"/>
                <w:sz w:val="24"/>
              </w:rPr>
              <w:t xml:space="preserve"> </w:t>
            </w:r>
            <w:r w:rsidR="00E32CFA" w:rsidRPr="00AB0A1B">
              <w:rPr>
                <w:bCs/>
                <w:spacing w:val="-3"/>
                <w:sz w:val="24"/>
              </w:rPr>
              <w:t xml:space="preserve">learning </w:t>
            </w:r>
            <w:r w:rsidR="00FC79D3">
              <w:rPr>
                <w:bCs/>
                <w:spacing w:val="-3"/>
                <w:sz w:val="24"/>
              </w:rPr>
              <w:t xml:space="preserve">aims and </w:t>
            </w:r>
            <w:r w:rsidR="00E32CFA" w:rsidRPr="00AB0A1B">
              <w:rPr>
                <w:bCs/>
                <w:spacing w:val="-3"/>
                <w:sz w:val="24"/>
              </w:rPr>
              <w:t>outcomes</w:t>
            </w:r>
            <w:r w:rsidR="00E32CFA">
              <w:rPr>
                <w:bCs/>
                <w:spacing w:val="-3"/>
                <w:sz w:val="24"/>
              </w:rPr>
              <w:t>,</w:t>
            </w:r>
            <w:r w:rsidR="00FC79D3">
              <w:rPr>
                <w:bCs/>
                <w:spacing w:val="-3"/>
                <w:sz w:val="24"/>
              </w:rPr>
              <w:t xml:space="preserve"> programme structure, rationale for sequencing of units and an outline of the assessment methods used for each unit.</w:t>
            </w:r>
          </w:p>
          <w:p w14:paraId="78731C8C" w14:textId="77777777" w:rsidR="00565EC9" w:rsidRPr="00AB0A1B" w:rsidRDefault="00565EC9" w:rsidP="00565EC9"/>
          <w:p w14:paraId="731B3200" w14:textId="77777777" w:rsidR="00565EC9" w:rsidRPr="00E32CFA" w:rsidRDefault="00565EC9" w:rsidP="00565EC9">
            <w:pPr>
              <w:ind w:left="720"/>
              <w:rPr>
                <w:sz w:val="24"/>
                <w:szCs w:val="24"/>
              </w:rPr>
            </w:pPr>
            <w:r w:rsidRPr="00AB0A1B">
              <w:rPr>
                <w:b/>
                <w:sz w:val="24"/>
                <w:szCs w:val="24"/>
              </w:rPr>
              <w:t>Personal Tutor</w:t>
            </w:r>
            <w:r w:rsidRPr="00AB0A1B">
              <w:rPr>
                <w:b/>
              </w:rPr>
              <w:t>:</w:t>
            </w:r>
            <w:r w:rsidRPr="00AB0A1B">
              <w:t xml:space="preserve"> </w:t>
            </w:r>
            <w:r w:rsidRPr="00E32CFA">
              <w:rPr>
                <w:sz w:val="24"/>
                <w:szCs w:val="24"/>
              </w:rPr>
              <w:t xml:space="preserve">This is the person who has responsibility for acting as the Personal Tutor for individual </w:t>
            </w:r>
            <w:r w:rsidR="00712B4C">
              <w:rPr>
                <w:sz w:val="24"/>
                <w:szCs w:val="24"/>
              </w:rPr>
              <w:t>students</w:t>
            </w:r>
            <w:r w:rsidRPr="00E32CFA">
              <w:rPr>
                <w:sz w:val="24"/>
                <w:szCs w:val="24"/>
              </w:rPr>
              <w:t xml:space="preserve"> and small groups of students. </w:t>
            </w:r>
          </w:p>
          <w:p w14:paraId="755A0FAD" w14:textId="77777777" w:rsidR="00565EC9" w:rsidRPr="00AB0A1B" w:rsidRDefault="00565EC9" w:rsidP="00565EC9">
            <w:pPr>
              <w:tabs>
                <w:tab w:val="left" w:pos="-720"/>
              </w:tabs>
              <w:suppressAutoHyphens/>
              <w:spacing w:line="240" w:lineRule="atLeast"/>
              <w:ind w:left="720"/>
              <w:jc w:val="both"/>
              <w:rPr>
                <w:bCs/>
                <w:spacing w:val="-3"/>
                <w:sz w:val="24"/>
              </w:rPr>
            </w:pPr>
          </w:p>
          <w:p w14:paraId="481F5C2F" w14:textId="6808F66A" w:rsidR="00744AEA" w:rsidRDefault="00565EC9" w:rsidP="002B0C82">
            <w:pPr>
              <w:ind w:firstLine="720"/>
              <w:rPr>
                <w:sz w:val="24"/>
                <w:szCs w:val="24"/>
              </w:rPr>
            </w:pPr>
            <w:r w:rsidRPr="00AB0A1B">
              <w:rPr>
                <w:b/>
                <w:sz w:val="24"/>
                <w:szCs w:val="24"/>
              </w:rPr>
              <w:t xml:space="preserve">Internal Verifier: </w:t>
            </w:r>
            <w:r w:rsidR="00FC79D3">
              <w:rPr>
                <w:sz w:val="24"/>
                <w:szCs w:val="24"/>
              </w:rPr>
              <w:t>Pearson considers it to be  good practice for all assessors to</w:t>
            </w:r>
          </w:p>
          <w:p w14:paraId="6F1D2967" w14:textId="77777777" w:rsidR="00744AEA" w:rsidRDefault="00FC79D3" w:rsidP="002B0C82">
            <w:pPr>
              <w:ind w:firstLine="720"/>
              <w:rPr>
                <w:sz w:val="24"/>
                <w:szCs w:val="24"/>
              </w:rPr>
            </w:pPr>
            <w:r>
              <w:rPr>
                <w:sz w:val="24"/>
                <w:szCs w:val="24"/>
              </w:rPr>
              <w:t xml:space="preserve"> act as internal verifiers for assignments they have not assessed</w:t>
            </w:r>
            <w:r w:rsidR="00E623B9">
              <w:rPr>
                <w:sz w:val="24"/>
                <w:szCs w:val="24"/>
              </w:rPr>
              <w:t xml:space="preserve">. The principal </w:t>
            </w:r>
            <w:r w:rsidR="00744AEA">
              <w:rPr>
                <w:sz w:val="24"/>
                <w:szCs w:val="24"/>
              </w:rPr>
              <w:t xml:space="preserve"> </w:t>
            </w:r>
          </w:p>
          <w:p w14:paraId="073D361D" w14:textId="19DC5EF4" w:rsidR="00744AEA" w:rsidRDefault="00E623B9" w:rsidP="002B0C82">
            <w:pPr>
              <w:ind w:firstLine="720"/>
              <w:rPr>
                <w:spacing w:val="-3"/>
                <w:sz w:val="24"/>
                <w:szCs w:val="24"/>
              </w:rPr>
            </w:pPr>
            <w:r>
              <w:rPr>
                <w:sz w:val="24"/>
                <w:szCs w:val="24"/>
              </w:rPr>
              <w:t>purpose of the internal verifier role is to</w:t>
            </w:r>
            <w:r w:rsidR="00FC79D3">
              <w:rPr>
                <w:sz w:val="24"/>
                <w:szCs w:val="24"/>
              </w:rPr>
              <w:t xml:space="preserve"> </w:t>
            </w:r>
            <w:r>
              <w:rPr>
                <w:spacing w:val="-3"/>
                <w:sz w:val="24"/>
                <w:szCs w:val="24"/>
              </w:rPr>
              <w:t>assure that assessments are</w:t>
            </w:r>
            <w:r w:rsidR="00FC79D3">
              <w:rPr>
                <w:spacing w:val="-3"/>
                <w:sz w:val="24"/>
                <w:szCs w:val="24"/>
              </w:rPr>
              <w:t xml:space="preserve"> in line </w:t>
            </w:r>
          </w:p>
          <w:p w14:paraId="08AFD9D7" w14:textId="4E37EB15" w:rsidR="00565EC9" w:rsidRPr="00AB0A1B" w:rsidRDefault="00FC79D3" w:rsidP="002B0C82">
            <w:pPr>
              <w:ind w:firstLine="720"/>
              <w:rPr>
                <w:spacing w:val="-3"/>
                <w:sz w:val="16"/>
                <w:szCs w:val="16"/>
              </w:rPr>
            </w:pPr>
            <w:r>
              <w:rPr>
                <w:spacing w:val="-3"/>
                <w:sz w:val="24"/>
                <w:szCs w:val="24"/>
              </w:rPr>
              <w:lastRenderedPageBreak/>
              <w:t>with Pearson national standards.</w:t>
            </w:r>
          </w:p>
          <w:p w14:paraId="5D44CAEB" w14:textId="6CA9660E" w:rsidR="00565EC9" w:rsidRPr="00AB0A1B" w:rsidRDefault="00565EC9" w:rsidP="00565EC9">
            <w:pPr>
              <w:pStyle w:val="BodyTextIndent"/>
              <w:rPr>
                <w:rFonts w:asciiTheme="minorHAnsi" w:hAnsiTheme="minorHAnsi" w:cs="Arial"/>
                <w:sz w:val="24"/>
                <w:szCs w:val="24"/>
              </w:rPr>
            </w:pPr>
            <w:r w:rsidRPr="00AB0A1B">
              <w:rPr>
                <w:rFonts w:asciiTheme="minorHAnsi" w:hAnsiTheme="minorHAnsi" w:cs="Arial"/>
                <w:sz w:val="24"/>
                <w:szCs w:val="24"/>
              </w:rPr>
              <w:t xml:space="preserve">It is the responsibility of the </w:t>
            </w:r>
            <w:r w:rsidR="00590C61">
              <w:rPr>
                <w:rFonts w:asciiTheme="minorHAnsi" w:hAnsiTheme="minorHAnsi" w:cs="Arial"/>
                <w:sz w:val="24"/>
                <w:szCs w:val="24"/>
              </w:rPr>
              <w:t>internal verifier to maintain a record of all internal verification undertaken</w:t>
            </w:r>
            <w:r w:rsidRPr="00AB0A1B">
              <w:rPr>
                <w:rFonts w:asciiTheme="minorHAnsi" w:hAnsiTheme="minorHAnsi" w:cs="Arial"/>
                <w:sz w:val="24"/>
                <w:szCs w:val="24"/>
              </w:rPr>
              <w:t>.</w:t>
            </w:r>
          </w:p>
          <w:p w14:paraId="332993F4" w14:textId="77777777" w:rsidR="00565EC9" w:rsidRPr="00AB0A1B" w:rsidRDefault="00565EC9" w:rsidP="00565EC9">
            <w:pPr>
              <w:pStyle w:val="BodyTextIndent"/>
              <w:rPr>
                <w:rFonts w:asciiTheme="minorHAnsi" w:hAnsiTheme="minorHAnsi" w:cs="Arial"/>
              </w:rPr>
            </w:pPr>
          </w:p>
          <w:p w14:paraId="5D1DD7C6" w14:textId="2800BA90" w:rsidR="00565EC9" w:rsidRDefault="00565EC9" w:rsidP="00565EC9">
            <w:pPr>
              <w:ind w:left="720"/>
              <w:rPr>
                <w:sz w:val="24"/>
                <w:szCs w:val="24"/>
              </w:rPr>
            </w:pPr>
            <w:r w:rsidRPr="00AB0A1B">
              <w:rPr>
                <w:b/>
                <w:sz w:val="24"/>
                <w:szCs w:val="24"/>
              </w:rPr>
              <w:t>Assessor</w:t>
            </w:r>
            <w:r w:rsidRPr="00AB0A1B">
              <w:rPr>
                <w:sz w:val="24"/>
                <w:szCs w:val="24"/>
              </w:rPr>
              <w:t>:</w:t>
            </w:r>
            <w:r w:rsidRPr="00AB0A1B">
              <w:rPr>
                <w:b/>
                <w:sz w:val="24"/>
                <w:szCs w:val="24"/>
              </w:rPr>
              <w:t xml:space="preserve"> </w:t>
            </w:r>
            <w:r w:rsidR="00590C61">
              <w:rPr>
                <w:sz w:val="24"/>
                <w:szCs w:val="24"/>
              </w:rPr>
              <w:t>they</w:t>
            </w:r>
            <w:r w:rsidRPr="00AB0A1B">
              <w:rPr>
                <w:sz w:val="24"/>
                <w:szCs w:val="24"/>
              </w:rPr>
              <w:t xml:space="preserve"> </w:t>
            </w:r>
            <w:r w:rsidR="00C97311">
              <w:rPr>
                <w:sz w:val="24"/>
                <w:szCs w:val="24"/>
              </w:rPr>
              <w:t>are</w:t>
            </w:r>
            <w:r w:rsidRPr="00AB0A1B">
              <w:rPr>
                <w:sz w:val="24"/>
                <w:szCs w:val="24"/>
              </w:rPr>
              <w:t xml:space="preserve"> responsible, in consultation with the teaching teams, for the implementation of the assessment regulations.</w:t>
            </w:r>
          </w:p>
          <w:p w14:paraId="5CEBA27E" w14:textId="77777777" w:rsidR="00712B4C" w:rsidRPr="00AB0A1B" w:rsidRDefault="00712B4C" w:rsidP="00565EC9">
            <w:pPr>
              <w:ind w:left="720"/>
              <w:rPr>
                <w:sz w:val="24"/>
                <w:szCs w:val="24"/>
              </w:rPr>
            </w:pPr>
          </w:p>
          <w:p w14:paraId="56C59443" w14:textId="77777777" w:rsidR="00565EC9" w:rsidRPr="00AB0A1B" w:rsidRDefault="00565EC9" w:rsidP="00565EC9">
            <w:pPr>
              <w:ind w:firstLine="720"/>
              <w:rPr>
                <w:sz w:val="24"/>
                <w:szCs w:val="24"/>
              </w:rPr>
            </w:pPr>
            <w:r w:rsidRPr="00AB0A1B">
              <w:rPr>
                <w:b/>
                <w:sz w:val="24"/>
                <w:szCs w:val="24"/>
              </w:rPr>
              <w:t>Students</w:t>
            </w:r>
            <w:r w:rsidRPr="00AB0A1B">
              <w:rPr>
                <w:sz w:val="24"/>
                <w:szCs w:val="24"/>
              </w:rPr>
              <w:t>: Student responsibility includes:</w:t>
            </w:r>
          </w:p>
          <w:p w14:paraId="55F52C17" w14:textId="607EEFDC" w:rsidR="00565EC9" w:rsidRPr="00590C61" w:rsidRDefault="00565EC9" w:rsidP="002B0C82">
            <w:pPr>
              <w:numPr>
                <w:ilvl w:val="0"/>
                <w:numId w:val="5"/>
              </w:numPr>
              <w:autoSpaceDE w:val="0"/>
              <w:autoSpaceDN w:val="0"/>
              <w:adjustRightInd w:val="0"/>
              <w:ind w:left="1080"/>
              <w:rPr>
                <w:sz w:val="24"/>
                <w:szCs w:val="24"/>
              </w:rPr>
            </w:pPr>
            <w:r w:rsidRPr="00AB0A1B">
              <w:rPr>
                <w:sz w:val="24"/>
                <w:szCs w:val="24"/>
              </w:rPr>
              <w:t>To understand and comply with the</w:t>
            </w:r>
            <w:r w:rsidR="00590C61">
              <w:rPr>
                <w:sz w:val="24"/>
                <w:szCs w:val="24"/>
              </w:rPr>
              <w:t xml:space="preserve"> BTEC HNC/D</w:t>
            </w:r>
            <w:r w:rsidRPr="00AB0A1B">
              <w:rPr>
                <w:sz w:val="24"/>
                <w:szCs w:val="24"/>
              </w:rPr>
              <w:t xml:space="preserve"> assessment</w:t>
            </w:r>
            <w:r w:rsidR="00590C61">
              <w:rPr>
                <w:sz w:val="24"/>
                <w:szCs w:val="24"/>
              </w:rPr>
              <w:t xml:space="preserve"> </w:t>
            </w:r>
            <w:r w:rsidRPr="00590C61">
              <w:rPr>
                <w:sz w:val="24"/>
                <w:szCs w:val="24"/>
              </w:rPr>
              <w:t xml:space="preserve">regulations </w:t>
            </w:r>
            <w:r w:rsidR="00590C61">
              <w:rPr>
                <w:sz w:val="24"/>
                <w:szCs w:val="24"/>
              </w:rPr>
              <w:t xml:space="preserve">and </w:t>
            </w:r>
            <w:r w:rsidRPr="00590C61">
              <w:rPr>
                <w:sz w:val="24"/>
                <w:szCs w:val="24"/>
              </w:rPr>
              <w:t>ancillary poli</w:t>
            </w:r>
            <w:r w:rsidR="00590C61">
              <w:rPr>
                <w:sz w:val="24"/>
                <w:szCs w:val="24"/>
              </w:rPr>
              <w:t>cies and procedures</w:t>
            </w:r>
            <w:r w:rsidRPr="00590C61">
              <w:rPr>
                <w:sz w:val="24"/>
                <w:szCs w:val="24"/>
              </w:rPr>
              <w:t>;</w:t>
            </w:r>
          </w:p>
          <w:p w14:paraId="39A95A1A" w14:textId="00C4B09B" w:rsidR="00565EC9" w:rsidRPr="00AB0A1B" w:rsidRDefault="00590C61" w:rsidP="00565EC9">
            <w:pPr>
              <w:numPr>
                <w:ilvl w:val="0"/>
                <w:numId w:val="5"/>
              </w:numPr>
              <w:autoSpaceDE w:val="0"/>
              <w:autoSpaceDN w:val="0"/>
              <w:adjustRightInd w:val="0"/>
              <w:ind w:left="1080"/>
              <w:rPr>
                <w:sz w:val="24"/>
                <w:szCs w:val="24"/>
              </w:rPr>
            </w:pPr>
            <w:r>
              <w:rPr>
                <w:sz w:val="24"/>
                <w:szCs w:val="24"/>
              </w:rPr>
              <w:t>Undertake assessments and</w:t>
            </w:r>
            <w:r w:rsidR="00565EC9" w:rsidRPr="00AB0A1B">
              <w:rPr>
                <w:sz w:val="24"/>
                <w:szCs w:val="24"/>
              </w:rPr>
              <w:t xml:space="preserve"> submit work for assessment</w:t>
            </w:r>
            <w:r>
              <w:rPr>
                <w:sz w:val="24"/>
                <w:szCs w:val="24"/>
              </w:rPr>
              <w:t>,</w:t>
            </w:r>
            <w:r w:rsidR="00565EC9" w:rsidRPr="00AB0A1B">
              <w:rPr>
                <w:sz w:val="24"/>
                <w:szCs w:val="24"/>
              </w:rPr>
              <w:t xml:space="preserve"> as required;</w:t>
            </w:r>
          </w:p>
          <w:p w14:paraId="50C91042" w14:textId="14B7CA15" w:rsidR="00590C61" w:rsidRPr="002B0C82" w:rsidRDefault="00565EC9" w:rsidP="002B0C82">
            <w:pPr>
              <w:numPr>
                <w:ilvl w:val="0"/>
                <w:numId w:val="5"/>
              </w:numPr>
              <w:autoSpaceDE w:val="0"/>
              <w:autoSpaceDN w:val="0"/>
              <w:adjustRightInd w:val="0"/>
              <w:ind w:left="1080"/>
              <w:rPr>
                <w:rFonts w:cs="Arial"/>
              </w:rPr>
            </w:pPr>
            <w:r w:rsidRPr="00AB0A1B">
              <w:rPr>
                <w:sz w:val="24"/>
                <w:szCs w:val="24"/>
              </w:rPr>
              <w:t>Submit any relevant information on extenuating circumstances which they believe may have affected their performance</w:t>
            </w:r>
            <w:r w:rsidR="00590C61">
              <w:rPr>
                <w:sz w:val="24"/>
                <w:szCs w:val="24"/>
              </w:rPr>
              <w:t>,</w:t>
            </w:r>
            <w:r w:rsidRPr="00AB0A1B">
              <w:rPr>
                <w:sz w:val="24"/>
                <w:szCs w:val="24"/>
              </w:rPr>
              <w:t xml:space="preserve"> in accordance with the</w:t>
            </w:r>
            <w:r w:rsidR="00590C61">
              <w:rPr>
                <w:rFonts w:cs="Arial"/>
                <w:sz w:val="24"/>
                <w:szCs w:val="24"/>
              </w:rPr>
              <w:t xml:space="preserve"> </w:t>
            </w:r>
            <w:r w:rsidRPr="002B0C82">
              <w:rPr>
                <w:rFonts w:cs="Arial"/>
                <w:sz w:val="24"/>
                <w:szCs w:val="24"/>
              </w:rPr>
              <w:t>extenuating circumstances policy</w:t>
            </w:r>
            <w:r w:rsidR="00590C61">
              <w:rPr>
                <w:rFonts w:cs="Arial"/>
                <w:sz w:val="24"/>
                <w:szCs w:val="24"/>
              </w:rPr>
              <w:t>;</w:t>
            </w:r>
          </w:p>
          <w:p w14:paraId="61160200" w14:textId="69D03BB4" w:rsidR="00565EC9" w:rsidRPr="00590C61" w:rsidRDefault="00590C61" w:rsidP="002B0C82">
            <w:pPr>
              <w:numPr>
                <w:ilvl w:val="0"/>
                <w:numId w:val="5"/>
              </w:numPr>
              <w:autoSpaceDE w:val="0"/>
              <w:autoSpaceDN w:val="0"/>
              <w:adjustRightInd w:val="0"/>
              <w:ind w:left="1080"/>
              <w:rPr>
                <w:rFonts w:cs="Arial"/>
              </w:rPr>
            </w:pPr>
            <w:r>
              <w:rPr>
                <w:rFonts w:cs="Arial"/>
                <w:sz w:val="24"/>
                <w:szCs w:val="24"/>
              </w:rPr>
              <w:t>informing their tutor of any reasonable adjustments that they might reasonably require or are permitted to have.</w:t>
            </w:r>
          </w:p>
          <w:p w14:paraId="2457950A" w14:textId="77777777" w:rsidR="00A64C16" w:rsidRPr="00AB0A1B" w:rsidRDefault="00A64C16"/>
        </w:tc>
      </w:tr>
      <w:tr w:rsidR="00A64C16" w14:paraId="00BCF822" w14:textId="77777777" w:rsidTr="004C192A">
        <w:tc>
          <w:tcPr>
            <w:tcW w:w="521" w:type="dxa"/>
          </w:tcPr>
          <w:p w14:paraId="6B8CF9EE" w14:textId="4C818C8B" w:rsidR="00A64C16" w:rsidRDefault="00A64C16">
            <w:r>
              <w:lastRenderedPageBreak/>
              <w:t>4.</w:t>
            </w:r>
          </w:p>
        </w:tc>
        <w:tc>
          <w:tcPr>
            <w:tcW w:w="8506" w:type="dxa"/>
            <w:gridSpan w:val="3"/>
          </w:tcPr>
          <w:p w14:paraId="1A5D1A0C" w14:textId="34B08417" w:rsidR="00A64C16" w:rsidRPr="00AB0A1B" w:rsidRDefault="00A64C16" w:rsidP="00710D44">
            <w:pPr>
              <w:pStyle w:val="Heading1"/>
              <w:outlineLvl w:val="0"/>
            </w:pPr>
            <w:bookmarkStart w:id="4" w:name="_Toc440442729"/>
            <w:r w:rsidRPr="00AB0A1B">
              <w:t>Programme Duration</w:t>
            </w:r>
            <w:bookmarkEnd w:id="4"/>
          </w:p>
        </w:tc>
      </w:tr>
      <w:tr w:rsidR="00A64C16" w14:paraId="7E6EB9B6" w14:textId="77777777" w:rsidTr="004C192A">
        <w:tc>
          <w:tcPr>
            <w:tcW w:w="521" w:type="dxa"/>
          </w:tcPr>
          <w:p w14:paraId="6C87E58C" w14:textId="77777777" w:rsidR="00A64C16" w:rsidRDefault="00A64C16"/>
        </w:tc>
        <w:tc>
          <w:tcPr>
            <w:tcW w:w="8506" w:type="dxa"/>
            <w:gridSpan w:val="3"/>
          </w:tcPr>
          <w:p w14:paraId="51268599" w14:textId="77F7B8C8" w:rsidR="00670312" w:rsidRDefault="00670312" w:rsidP="00CD5C16">
            <w:pPr>
              <w:autoSpaceDE w:val="0"/>
              <w:autoSpaceDN w:val="0"/>
              <w:adjustRightInd w:val="0"/>
              <w:rPr>
                <w:sz w:val="24"/>
                <w:szCs w:val="24"/>
              </w:rPr>
            </w:pPr>
            <w:r>
              <w:rPr>
                <w:sz w:val="24"/>
                <w:szCs w:val="24"/>
              </w:rPr>
              <w:t xml:space="preserve">The BTEC HNC Diploma is a 120 credit level 4 qualification </w:t>
            </w:r>
            <w:r w:rsidR="00813EA8">
              <w:rPr>
                <w:sz w:val="24"/>
                <w:szCs w:val="24"/>
              </w:rPr>
              <w:t xml:space="preserve">normally </w:t>
            </w:r>
            <w:r>
              <w:rPr>
                <w:sz w:val="24"/>
                <w:szCs w:val="24"/>
              </w:rPr>
              <w:t xml:space="preserve">lasting </w:t>
            </w:r>
            <w:r w:rsidR="00813EA8">
              <w:rPr>
                <w:sz w:val="24"/>
                <w:szCs w:val="24"/>
              </w:rPr>
              <w:t>two years.</w:t>
            </w:r>
          </w:p>
          <w:p w14:paraId="2B20E15F" w14:textId="77777777" w:rsidR="00670312" w:rsidRDefault="00670312" w:rsidP="00CD5C16">
            <w:pPr>
              <w:autoSpaceDE w:val="0"/>
              <w:autoSpaceDN w:val="0"/>
              <w:adjustRightInd w:val="0"/>
              <w:rPr>
                <w:sz w:val="24"/>
                <w:szCs w:val="24"/>
              </w:rPr>
            </w:pPr>
          </w:p>
          <w:p w14:paraId="64178534" w14:textId="7578D50D" w:rsidR="00A40067" w:rsidRPr="00CD5C16" w:rsidRDefault="00A40067" w:rsidP="002B0C82">
            <w:pPr>
              <w:autoSpaceDE w:val="0"/>
              <w:autoSpaceDN w:val="0"/>
              <w:adjustRightInd w:val="0"/>
              <w:rPr>
                <w:sz w:val="24"/>
                <w:szCs w:val="24"/>
              </w:rPr>
            </w:pPr>
            <w:r w:rsidRPr="00AB0A1B">
              <w:rPr>
                <w:sz w:val="24"/>
                <w:szCs w:val="24"/>
              </w:rPr>
              <w:t>The BTEC HND Diploma</w:t>
            </w:r>
            <w:r w:rsidR="00670312">
              <w:rPr>
                <w:sz w:val="24"/>
                <w:szCs w:val="24"/>
              </w:rPr>
              <w:t xml:space="preserve"> </w:t>
            </w:r>
            <w:r w:rsidRPr="00AB0A1B">
              <w:rPr>
                <w:sz w:val="24"/>
                <w:szCs w:val="24"/>
              </w:rPr>
              <w:t xml:space="preserve">is </w:t>
            </w:r>
            <w:r w:rsidR="00670312">
              <w:rPr>
                <w:sz w:val="24"/>
                <w:szCs w:val="24"/>
              </w:rPr>
              <w:t xml:space="preserve">a </w:t>
            </w:r>
            <w:r w:rsidRPr="00AB0A1B">
              <w:rPr>
                <w:sz w:val="24"/>
                <w:szCs w:val="24"/>
              </w:rPr>
              <w:t>240 credit</w:t>
            </w:r>
            <w:r w:rsidR="00670312">
              <w:rPr>
                <w:sz w:val="24"/>
                <w:szCs w:val="24"/>
              </w:rPr>
              <w:t xml:space="preserve"> level 5 qualification lasting two years</w:t>
            </w:r>
            <w:r w:rsidR="00813EA8">
              <w:rPr>
                <w:sz w:val="24"/>
                <w:szCs w:val="24"/>
              </w:rPr>
              <w:t>.</w:t>
            </w:r>
            <w:r w:rsidR="00670312">
              <w:rPr>
                <w:sz w:val="24"/>
                <w:szCs w:val="24"/>
              </w:rPr>
              <w:t xml:space="preserve"> For further details, please refer to relevant programme specifications and qualification specifications.</w:t>
            </w:r>
          </w:p>
          <w:p w14:paraId="767EED9E" w14:textId="77777777" w:rsidR="00A64C16" w:rsidRPr="00AB0A1B" w:rsidRDefault="00A64C16"/>
        </w:tc>
      </w:tr>
      <w:tr w:rsidR="00686878" w14:paraId="7970D391" w14:textId="77777777" w:rsidTr="004C192A">
        <w:tc>
          <w:tcPr>
            <w:tcW w:w="521" w:type="dxa"/>
          </w:tcPr>
          <w:p w14:paraId="78D769EF" w14:textId="4DE0260F" w:rsidR="00686878" w:rsidRDefault="00686878"/>
        </w:tc>
        <w:tc>
          <w:tcPr>
            <w:tcW w:w="8506" w:type="dxa"/>
            <w:gridSpan w:val="3"/>
          </w:tcPr>
          <w:p w14:paraId="7B07E889" w14:textId="77777777" w:rsidR="00686878" w:rsidRPr="00AB0A1B" w:rsidRDefault="00686878" w:rsidP="00710D44">
            <w:pPr>
              <w:pStyle w:val="Heading1"/>
              <w:outlineLvl w:val="0"/>
            </w:pPr>
          </w:p>
        </w:tc>
      </w:tr>
      <w:tr w:rsidR="00A64C16" w14:paraId="7AAF2707" w14:textId="77777777" w:rsidTr="004C192A">
        <w:tc>
          <w:tcPr>
            <w:tcW w:w="521" w:type="dxa"/>
          </w:tcPr>
          <w:p w14:paraId="78714EFE" w14:textId="77777777" w:rsidR="00A64C16" w:rsidRDefault="00A64C16">
            <w:r>
              <w:t>5.</w:t>
            </w:r>
          </w:p>
        </w:tc>
        <w:tc>
          <w:tcPr>
            <w:tcW w:w="8506" w:type="dxa"/>
            <w:gridSpan w:val="3"/>
          </w:tcPr>
          <w:p w14:paraId="2DF06714" w14:textId="67171596" w:rsidR="00A64C16" w:rsidRPr="00AB0A1B" w:rsidRDefault="00A64C16" w:rsidP="00710D44">
            <w:pPr>
              <w:pStyle w:val="Heading1"/>
              <w:outlineLvl w:val="0"/>
            </w:pPr>
            <w:bookmarkStart w:id="5" w:name="_Toc440442730"/>
            <w:r w:rsidRPr="00AB0A1B">
              <w:t>Intermission</w:t>
            </w:r>
            <w:bookmarkEnd w:id="5"/>
          </w:p>
        </w:tc>
      </w:tr>
      <w:tr w:rsidR="00A64C16" w14:paraId="37782E5A" w14:textId="77777777" w:rsidTr="004C192A">
        <w:tc>
          <w:tcPr>
            <w:tcW w:w="521" w:type="dxa"/>
          </w:tcPr>
          <w:p w14:paraId="2C7943A9" w14:textId="77777777" w:rsidR="00A64C16" w:rsidRDefault="00A64C16"/>
        </w:tc>
        <w:tc>
          <w:tcPr>
            <w:tcW w:w="8506" w:type="dxa"/>
            <w:gridSpan w:val="3"/>
          </w:tcPr>
          <w:p w14:paraId="432577A5" w14:textId="3FEDDDB0" w:rsidR="00C22D92" w:rsidRPr="00AB0A1B" w:rsidRDefault="00C22D92" w:rsidP="00C22D92">
            <w:pPr>
              <w:autoSpaceDE w:val="0"/>
              <w:autoSpaceDN w:val="0"/>
              <w:adjustRightInd w:val="0"/>
              <w:rPr>
                <w:sz w:val="24"/>
                <w:szCs w:val="24"/>
              </w:rPr>
            </w:pPr>
            <w:r w:rsidRPr="00A63BA7">
              <w:rPr>
                <w:bCs/>
                <w:sz w:val="24"/>
                <w:szCs w:val="24"/>
              </w:rPr>
              <w:t xml:space="preserve">Intermission </w:t>
            </w:r>
            <w:r w:rsidR="00670312">
              <w:rPr>
                <w:bCs/>
                <w:sz w:val="24"/>
                <w:szCs w:val="24"/>
              </w:rPr>
              <w:t>(</w:t>
            </w:r>
            <w:r w:rsidR="00FE182B">
              <w:rPr>
                <w:bCs/>
                <w:sz w:val="24"/>
                <w:szCs w:val="24"/>
              </w:rPr>
              <w:t xml:space="preserve">i.e. </w:t>
            </w:r>
            <w:r w:rsidRPr="00A63BA7">
              <w:rPr>
                <w:bCs/>
                <w:sz w:val="24"/>
                <w:szCs w:val="24"/>
              </w:rPr>
              <w:t xml:space="preserve">a break in study </w:t>
            </w:r>
            <w:r w:rsidRPr="00AB0A1B">
              <w:rPr>
                <w:bCs/>
                <w:sz w:val="24"/>
                <w:szCs w:val="24"/>
              </w:rPr>
              <w:t>or</w:t>
            </w:r>
            <w:r w:rsidRPr="00AB0A1B">
              <w:rPr>
                <w:b/>
                <w:bCs/>
                <w:sz w:val="24"/>
                <w:szCs w:val="24"/>
              </w:rPr>
              <w:t xml:space="preserve"> </w:t>
            </w:r>
            <w:r w:rsidRPr="00AB0A1B">
              <w:rPr>
                <w:sz w:val="24"/>
                <w:szCs w:val="24"/>
              </w:rPr>
              <w:t>permanent withdrawal from the programme</w:t>
            </w:r>
            <w:r w:rsidR="00670312">
              <w:rPr>
                <w:sz w:val="24"/>
                <w:szCs w:val="24"/>
              </w:rPr>
              <w:t xml:space="preserve">) </w:t>
            </w:r>
            <w:r w:rsidRPr="00AB0A1B">
              <w:rPr>
                <w:sz w:val="24"/>
                <w:szCs w:val="24"/>
              </w:rPr>
              <w:t>may be necessary if circumstances prevent the student from continuing their</w:t>
            </w:r>
            <w:r w:rsidR="00CD5C16">
              <w:rPr>
                <w:sz w:val="24"/>
                <w:szCs w:val="24"/>
              </w:rPr>
              <w:t xml:space="preserve"> </w:t>
            </w:r>
            <w:r w:rsidRPr="00AB0A1B">
              <w:rPr>
                <w:sz w:val="24"/>
                <w:szCs w:val="24"/>
              </w:rPr>
              <w:t>studies. This must be discussed as soon as possible with the student</w:t>
            </w:r>
            <w:r w:rsidR="00CD5C16">
              <w:rPr>
                <w:sz w:val="24"/>
                <w:szCs w:val="24"/>
              </w:rPr>
              <w:t xml:space="preserve"> </w:t>
            </w:r>
            <w:r w:rsidRPr="00AB0A1B">
              <w:rPr>
                <w:sz w:val="24"/>
                <w:szCs w:val="24"/>
              </w:rPr>
              <w:t xml:space="preserve">and the Programme Leader, so that the correct procedures are followed. </w:t>
            </w:r>
            <w:r w:rsidR="00670312">
              <w:rPr>
                <w:sz w:val="24"/>
                <w:szCs w:val="24"/>
              </w:rPr>
              <w:t>Please r</w:t>
            </w:r>
            <w:r w:rsidRPr="00AB0A1B">
              <w:rPr>
                <w:sz w:val="24"/>
                <w:szCs w:val="24"/>
              </w:rPr>
              <w:t xml:space="preserve">efer to the Intermission guidance and form on </w:t>
            </w:r>
            <w:r w:rsidR="00670312">
              <w:rPr>
                <w:sz w:val="24"/>
                <w:szCs w:val="24"/>
              </w:rPr>
              <w:t xml:space="preserve">the College </w:t>
            </w:r>
            <w:r w:rsidRPr="00AB0A1B">
              <w:rPr>
                <w:sz w:val="24"/>
                <w:szCs w:val="24"/>
              </w:rPr>
              <w:t xml:space="preserve">website </w:t>
            </w:r>
            <w:r w:rsidR="00670312">
              <w:rPr>
                <w:sz w:val="24"/>
                <w:szCs w:val="24"/>
              </w:rPr>
              <w:t>(</w:t>
            </w:r>
            <w:hyperlink r:id="rId8" w:history="1">
              <w:r w:rsidRPr="00AB0A1B">
                <w:rPr>
                  <w:rStyle w:val="Hyperlink"/>
                  <w:sz w:val="24"/>
                  <w:szCs w:val="24"/>
                </w:rPr>
                <w:t>http://www.southessex.ac.uk/higher-education/higher-education-policies</w:t>
              </w:r>
            </w:hyperlink>
            <w:r w:rsidR="00670312">
              <w:rPr>
                <w:rStyle w:val="Hyperlink"/>
                <w:sz w:val="24"/>
                <w:szCs w:val="24"/>
              </w:rPr>
              <w:t>).</w:t>
            </w:r>
          </w:p>
          <w:p w14:paraId="0F6BD933" w14:textId="77777777" w:rsidR="00A64C16" w:rsidRPr="00AB0A1B" w:rsidRDefault="00A64C16"/>
        </w:tc>
      </w:tr>
      <w:tr w:rsidR="00A64C16" w14:paraId="2DDF8845" w14:textId="77777777" w:rsidTr="004C192A">
        <w:tc>
          <w:tcPr>
            <w:tcW w:w="521" w:type="dxa"/>
          </w:tcPr>
          <w:p w14:paraId="18970EB6" w14:textId="77777777" w:rsidR="00A64C16" w:rsidRDefault="00A64C16">
            <w:r>
              <w:t>6.</w:t>
            </w:r>
          </w:p>
        </w:tc>
        <w:tc>
          <w:tcPr>
            <w:tcW w:w="8506" w:type="dxa"/>
            <w:gridSpan w:val="3"/>
          </w:tcPr>
          <w:p w14:paraId="761C11B0" w14:textId="1D60498C" w:rsidR="00A64C16" w:rsidRPr="00AB0A1B" w:rsidRDefault="00A64C16" w:rsidP="00710D44">
            <w:pPr>
              <w:pStyle w:val="Heading1"/>
              <w:outlineLvl w:val="0"/>
            </w:pPr>
            <w:bookmarkStart w:id="6" w:name="_Toc440442731"/>
            <w:r w:rsidRPr="00AB0A1B">
              <w:t>Achieveme</w:t>
            </w:r>
            <w:r w:rsidR="00B936C6">
              <w:t>nt and Unit Certification</w:t>
            </w:r>
            <w:bookmarkEnd w:id="6"/>
          </w:p>
        </w:tc>
      </w:tr>
      <w:tr w:rsidR="00A64C16" w14:paraId="5671CD72" w14:textId="77777777" w:rsidTr="004C192A">
        <w:tc>
          <w:tcPr>
            <w:tcW w:w="521" w:type="dxa"/>
          </w:tcPr>
          <w:p w14:paraId="737B984E" w14:textId="77777777" w:rsidR="00A64C16" w:rsidRDefault="00A64C16"/>
        </w:tc>
        <w:tc>
          <w:tcPr>
            <w:tcW w:w="8506" w:type="dxa"/>
            <w:gridSpan w:val="3"/>
          </w:tcPr>
          <w:p w14:paraId="406C0DEB" w14:textId="2E13C92A" w:rsidR="006A1530" w:rsidRDefault="006A1530" w:rsidP="00C22D92">
            <w:pPr>
              <w:rPr>
                <w:sz w:val="24"/>
                <w:szCs w:val="24"/>
              </w:rPr>
            </w:pPr>
            <w:r>
              <w:rPr>
                <w:sz w:val="24"/>
                <w:szCs w:val="24"/>
              </w:rPr>
              <w:t xml:space="preserve">BTEC HNC/D grades cover a ‘Pass’, ‘Merit’ and ‘Distinction’. </w:t>
            </w:r>
          </w:p>
          <w:p w14:paraId="6D485946" w14:textId="297A953C" w:rsidR="006A1530" w:rsidRDefault="006A1530" w:rsidP="00C22D92">
            <w:pPr>
              <w:rPr>
                <w:sz w:val="24"/>
                <w:szCs w:val="24"/>
              </w:rPr>
            </w:pPr>
            <w:r>
              <w:rPr>
                <w:sz w:val="24"/>
                <w:szCs w:val="24"/>
              </w:rPr>
              <w:t>In order to achieve a Pass grade for a unit, students must successfully complete all the assessment criteria.</w:t>
            </w:r>
          </w:p>
          <w:p w14:paraId="2185D9B0" w14:textId="60478BE4" w:rsidR="00E0288D" w:rsidRPr="00E32CFA" w:rsidRDefault="00C22D92" w:rsidP="00C22D92">
            <w:pPr>
              <w:rPr>
                <w:sz w:val="24"/>
                <w:szCs w:val="24"/>
              </w:rPr>
            </w:pPr>
            <w:bookmarkStart w:id="7" w:name="_Toc438546728"/>
            <w:bookmarkStart w:id="8" w:name="_Toc438546817"/>
            <w:r w:rsidRPr="00E32CFA">
              <w:rPr>
                <w:sz w:val="24"/>
                <w:szCs w:val="24"/>
              </w:rPr>
              <w:t>Grades will be confirmed by the Assessment Board.</w:t>
            </w:r>
            <w:bookmarkEnd w:id="7"/>
            <w:bookmarkEnd w:id="8"/>
            <w:r w:rsidRPr="00E32CFA">
              <w:rPr>
                <w:sz w:val="24"/>
                <w:szCs w:val="24"/>
              </w:rPr>
              <w:t xml:space="preserve"> </w:t>
            </w:r>
          </w:p>
          <w:p w14:paraId="63E800C1" w14:textId="77777777" w:rsidR="00A64C16" w:rsidRPr="00E32CFA" w:rsidRDefault="00A64C16" w:rsidP="00C22D92">
            <w:pPr>
              <w:autoSpaceDE w:val="0"/>
              <w:autoSpaceDN w:val="0"/>
              <w:adjustRightInd w:val="0"/>
              <w:rPr>
                <w:sz w:val="24"/>
                <w:szCs w:val="24"/>
              </w:rPr>
            </w:pPr>
          </w:p>
        </w:tc>
      </w:tr>
      <w:tr w:rsidR="00A64C16" w14:paraId="4AF80DA4" w14:textId="77777777" w:rsidTr="004C192A">
        <w:tc>
          <w:tcPr>
            <w:tcW w:w="521" w:type="dxa"/>
          </w:tcPr>
          <w:p w14:paraId="66E36661" w14:textId="05F58F57" w:rsidR="00A64C16" w:rsidRDefault="00A64C16">
            <w:r>
              <w:t>7.</w:t>
            </w:r>
          </w:p>
        </w:tc>
        <w:tc>
          <w:tcPr>
            <w:tcW w:w="8506" w:type="dxa"/>
            <w:gridSpan w:val="3"/>
          </w:tcPr>
          <w:p w14:paraId="3CDB7A85" w14:textId="7C4F5EF3" w:rsidR="00A64C16" w:rsidRPr="00AB0A1B" w:rsidRDefault="00A64C16" w:rsidP="00710D44">
            <w:pPr>
              <w:pStyle w:val="Heading1"/>
              <w:outlineLvl w:val="0"/>
            </w:pPr>
            <w:bookmarkStart w:id="9" w:name="_Toc440442732"/>
            <w:r w:rsidRPr="00AB0A1B">
              <w:t xml:space="preserve">Formative </w:t>
            </w:r>
            <w:r w:rsidR="00E0288D">
              <w:t>and</w:t>
            </w:r>
            <w:r w:rsidRPr="00AB0A1B">
              <w:t xml:space="preserve"> </w:t>
            </w:r>
            <w:r w:rsidR="00E0288D">
              <w:t>s</w:t>
            </w:r>
            <w:r w:rsidRPr="00AB0A1B">
              <w:t xml:space="preserve">ummative </w:t>
            </w:r>
            <w:r w:rsidR="00E0288D">
              <w:t>assessment, submission and resubmission</w:t>
            </w:r>
            <w:bookmarkEnd w:id="9"/>
          </w:p>
        </w:tc>
      </w:tr>
      <w:tr w:rsidR="00A64C16" w14:paraId="19BBCB19" w14:textId="77777777" w:rsidTr="004C192A">
        <w:tc>
          <w:tcPr>
            <w:tcW w:w="521" w:type="dxa"/>
          </w:tcPr>
          <w:p w14:paraId="293037CD" w14:textId="77777777" w:rsidR="00A64C16" w:rsidRDefault="00A64C16"/>
        </w:tc>
        <w:tc>
          <w:tcPr>
            <w:tcW w:w="8506" w:type="dxa"/>
            <w:gridSpan w:val="3"/>
          </w:tcPr>
          <w:p w14:paraId="4F7872A5" w14:textId="283D5C92" w:rsidR="00A57500" w:rsidRDefault="00A57500" w:rsidP="00C22D92">
            <w:pPr>
              <w:autoSpaceDE w:val="0"/>
              <w:autoSpaceDN w:val="0"/>
              <w:adjustRightInd w:val="0"/>
              <w:rPr>
                <w:sz w:val="24"/>
                <w:szCs w:val="24"/>
              </w:rPr>
            </w:pPr>
            <w:r>
              <w:rPr>
                <w:sz w:val="24"/>
                <w:szCs w:val="24"/>
              </w:rPr>
              <w:t>Students can receive formative feedback before submitting the</w:t>
            </w:r>
            <w:r w:rsidR="005E457A">
              <w:rPr>
                <w:sz w:val="24"/>
                <w:szCs w:val="24"/>
              </w:rPr>
              <w:t>ir</w:t>
            </w:r>
            <w:r>
              <w:rPr>
                <w:sz w:val="24"/>
                <w:szCs w:val="24"/>
              </w:rPr>
              <w:t xml:space="preserve"> final assignment</w:t>
            </w:r>
            <w:r w:rsidR="00E803C4">
              <w:rPr>
                <w:sz w:val="24"/>
                <w:szCs w:val="24"/>
              </w:rPr>
              <w:t xml:space="preserve"> for summative assessment</w:t>
            </w:r>
            <w:r>
              <w:rPr>
                <w:sz w:val="24"/>
                <w:szCs w:val="24"/>
              </w:rPr>
              <w:t>. At least one opportunity to receive formal formative assessment and feedback should be given.</w:t>
            </w:r>
            <w:r w:rsidR="002B0C82">
              <w:rPr>
                <w:sz w:val="24"/>
                <w:szCs w:val="24"/>
              </w:rPr>
              <w:t xml:space="preserve"> </w:t>
            </w:r>
            <w:r>
              <w:rPr>
                <w:sz w:val="24"/>
                <w:szCs w:val="24"/>
              </w:rPr>
              <w:t xml:space="preserve">This should be scheduled and implemented with sufficient time for students to revisit their draft assignment, make </w:t>
            </w:r>
            <w:r>
              <w:rPr>
                <w:sz w:val="24"/>
                <w:szCs w:val="24"/>
              </w:rPr>
              <w:lastRenderedPageBreak/>
              <w:t>improvements or further improvements to their work before summative</w:t>
            </w:r>
            <w:r w:rsidR="002B0C82">
              <w:rPr>
                <w:sz w:val="24"/>
                <w:szCs w:val="24"/>
              </w:rPr>
              <w:t xml:space="preserve"> </w:t>
            </w:r>
            <w:r>
              <w:rPr>
                <w:sz w:val="24"/>
                <w:szCs w:val="24"/>
              </w:rPr>
              <w:t xml:space="preserve">assessment. </w:t>
            </w:r>
          </w:p>
          <w:p w14:paraId="5AD316A8" w14:textId="77777777" w:rsidR="00A57500" w:rsidRDefault="00A57500" w:rsidP="00C22D92">
            <w:pPr>
              <w:autoSpaceDE w:val="0"/>
              <w:autoSpaceDN w:val="0"/>
              <w:adjustRightInd w:val="0"/>
              <w:rPr>
                <w:sz w:val="24"/>
                <w:szCs w:val="24"/>
              </w:rPr>
            </w:pPr>
          </w:p>
          <w:p w14:paraId="65D61286" w14:textId="416DB402" w:rsidR="00661631" w:rsidRDefault="005E457A" w:rsidP="005E457A">
            <w:pPr>
              <w:autoSpaceDE w:val="0"/>
              <w:autoSpaceDN w:val="0"/>
              <w:adjustRightInd w:val="0"/>
              <w:rPr>
                <w:sz w:val="24"/>
                <w:szCs w:val="24"/>
              </w:rPr>
            </w:pPr>
            <w:r>
              <w:rPr>
                <w:sz w:val="24"/>
                <w:szCs w:val="24"/>
              </w:rPr>
              <w:t>Summative assessment cannot include formative feedback</w:t>
            </w:r>
            <w:r w:rsidR="00087BED">
              <w:rPr>
                <w:sz w:val="24"/>
                <w:szCs w:val="24"/>
              </w:rPr>
              <w:t>.</w:t>
            </w:r>
            <w:r>
              <w:rPr>
                <w:sz w:val="24"/>
                <w:szCs w:val="24"/>
              </w:rPr>
              <w:t xml:space="preserve"> </w:t>
            </w:r>
          </w:p>
          <w:p w14:paraId="1D2BE5F1" w14:textId="77777777" w:rsidR="00661631" w:rsidRDefault="00661631" w:rsidP="00661631">
            <w:pPr>
              <w:autoSpaceDE w:val="0"/>
              <w:autoSpaceDN w:val="0"/>
              <w:adjustRightInd w:val="0"/>
              <w:rPr>
                <w:sz w:val="24"/>
                <w:szCs w:val="24"/>
              </w:rPr>
            </w:pPr>
          </w:p>
          <w:p w14:paraId="311BC496" w14:textId="77777777" w:rsidR="00C22D92" w:rsidRPr="00AB0A1B" w:rsidRDefault="00C22D92" w:rsidP="00C22D92">
            <w:pPr>
              <w:autoSpaceDE w:val="0"/>
              <w:autoSpaceDN w:val="0"/>
              <w:adjustRightInd w:val="0"/>
              <w:rPr>
                <w:sz w:val="24"/>
                <w:szCs w:val="24"/>
              </w:rPr>
            </w:pPr>
            <w:r w:rsidRPr="00AB0A1B">
              <w:rPr>
                <w:sz w:val="24"/>
                <w:szCs w:val="24"/>
              </w:rPr>
              <w:t>Where a student does not achieve at least a pass grade at summative assessment, the work will be recorded as a “Refer”.</w:t>
            </w:r>
          </w:p>
          <w:p w14:paraId="11518A0F" w14:textId="77777777" w:rsidR="00C22D92" w:rsidRPr="00AB0A1B" w:rsidRDefault="00C22D92" w:rsidP="00C22D92">
            <w:pPr>
              <w:autoSpaceDE w:val="0"/>
              <w:autoSpaceDN w:val="0"/>
              <w:adjustRightInd w:val="0"/>
              <w:ind w:left="360"/>
              <w:rPr>
                <w:sz w:val="24"/>
                <w:szCs w:val="24"/>
              </w:rPr>
            </w:pPr>
          </w:p>
          <w:p w14:paraId="002A1395" w14:textId="0A51BCD6" w:rsidR="00C22D92" w:rsidRPr="00AB0A1B" w:rsidRDefault="00C22D92" w:rsidP="00C22D92">
            <w:pPr>
              <w:autoSpaceDE w:val="0"/>
              <w:autoSpaceDN w:val="0"/>
              <w:adjustRightInd w:val="0"/>
              <w:rPr>
                <w:sz w:val="24"/>
                <w:szCs w:val="24"/>
              </w:rPr>
            </w:pPr>
            <w:r w:rsidRPr="00AB0A1B">
              <w:rPr>
                <w:sz w:val="24"/>
                <w:szCs w:val="24"/>
              </w:rPr>
              <w:t>Where a student does not achieve the pass criteria for a unit, the student is entitled to one referral</w:t>
            </w:r>
            <w:r w:rsidR="00812FF2">
              <w:rPr>
                <w:sz w:val="24"/>
                <w:szCs w:val="24"/>
              </w:rPr>
              <w:t xml:space="preserve"> or retake.</w:t>
            </w:r>
          </w:p>
          <w:p w14:paraId="693DDC18" w14:textId="77777777" w:rsidR="00C22D92" w:rsidRPr="00AB0A1B" w:rsidRDefault="00C22D92" w:rsidP="00C22D92">
            <w:pPr>
              <w:autoSpaceDE w:val="0"/>
              <w:autoSpaceDN w:val="0"/>
              <w:adjustRightInd w:val="0"/>
              <w:ind w:left="360"/>
              <w:rPr>
                <w:sz w:val="24"/>
                <w:szCs w:val="24"/>
              </w:rPr>
            </w:pPr>
          </w:p>
          <w:p w14:paraId="053181EE" w14:textId="77777777" w:rsidR="00C22D92" w:rsidRPr="00AB0A1B" w:rsidRDefault="00C22D92" w:rsidP="00C22D92">
            <w:pPr>
              <w:autoSpaceDE w:val="0"/>
              <w:autoSpaceDN w:val="0"/>
              <w:adjustRightInd w:val="0"/>
              <w:rPr>
                <w:sz w:val="24"/>
                <w:szCs w:val="24"/>
              </w:rPr>
            </w:pPr>
            <w:r w:rsidRPr="00AB0A1B">
              <w:rPr>
                <w:sz w:val="24"/>
                <w:szCs w:val="24"/>
              </w:rPr>
              <w:t xml:space="preserve">Should a student not achieve a pass grade for the referred assessment the unit grade will be recorded as </w:t>
            </w:r>
            <w:r w:rsidRPr="00AB0A1B">
              <w:rPr>
                <w:i/>
                <w:sz w:val="24"/>
                <w:szCs w:val="24"/>
              </w:rPr>
              <w:t>“Fail.”</w:t>
            </w:r>
            <w:r w:rsidRPr="00AB0A1B">
              <w:rPr>
                <w:sz w:val="24"/>
                <w:szCs w:val="24"/>
              </w:rPr>
              <w:t xml:space="preserve"> </w:t>
            </w:r>
          </w:p>
          <w:p w14:paraId="575236F7" w14:textId="77777777" w:rsidR="00C22D92" w:rsidRPr="00AB0A1B" w:rsidRDefault="00C22D92" w:rsidP="00C22D92">
            <w:pPr>
              <w:autoSpaceDE w:val="0"/>
              <w:autoSpaceDN w:val="0"/>
              <w:adjustRightInd w:val="0"/>
              <w:ind w:left="360"/>
              <w:rPr>
                <w:sz w:val="24"/>
                <w:szCs w:val="24"/>
              </w:rPr>
            </w:pPr>
          </w:p>
          <w:p w14:paraId="081381B8" w14:textId="77777777" w:rsidR="00C22D92" w:rsidRPr="00632456" w:rsidRDefault="00C22D92" w:rsidP="00C22D92">
            <w:pPr>
              <w:autoSpaceDE w:val="0"/>
              <w:autoSpaceDN w:val="0"/>
              <w:adjustRightInd w:val="0"/>
              <w:rPr>
                <w:i/>
                <w:sz w:val="24"/>
                <w:szCs w:val="24"/>
              </w:rPr>
            </w:pPr>
            <w:r w:rsidRPr="00AB0A1B">
              <w:rPr>
                <w:sz w:val="24"/>
                <w:szCs w:val="24"/>
              </w:rPr>
              <w:t xml:space="preserve">Where a student has not taken advantage of the formative assessment process or has not met the initial submission deadlines, a student may be given one opportunity to retake a completed assessment after a summative grade has been given. </w:t>
            </w:r>
            <w:r w:rsidRPr="00632456">
              <w:rPr>
                <w:sz w:val="24"/>
                <w:szCs w:val="24"/>
              </w:rPr>
              <w:t>The Merit and Distinction criteria will not be included in the resubmission brief.</w:t>
            </w:r>
          </w:p>
          <w:p w14:paraId="6F64171B" w14:textId="77777777" w:rsidR="00C22D92" w:rsidRPr="00632456" w:rsidRDefault="00C22D92" w:rsidP="00C22D92">
            <w:pPr>
              <w:autoSpaceDE w:val="0"/>
              <w:autoSpaceDN w:val="0"/>
              <w:adjustRightInd w:val="0"/>
              <w:ind w:left="360"/>
              <w:rPr>
                <w:sz w:val="24"/>
                <w:szCs w:val="24"/>
              </w:rPr>
            </w:pPr>
          </w:p>
          <w:p w14:paraId="6DD7478A" w14:textId="64815E8E" w:rsidR="00C22D92" w:rsidRPr="00AB0A1B" w:rsidRDefault="00C22D92" w:rsidP="00C22D92">
            <w:pPr>
              <w:autoSpaceDE w:val="0"/>
              <w:autoSpaceDN w:val="0"/>
              <w:adjustRightInd w:val="0"/>
              <w:rPr>
                <w:sz w:val="24"/>
                <w:szCs w:val="24"/>
              </w:rPr>
            </w:pPr>
            <w:r w:rsidRPr="00632456">
              <w:rPr>
                <w:sz w:val="24"/>
                <w:szCs w:val="24"/>
              </w:rPr>
              <w:t xml:space="preserve">Where a </w:t>
            </w:r>
            <w:r w:rsidRPr="00AB0A1B">
              <w:rPr>
                <w:sz w:val="24"/>
                <w:szCs w:val="24"/>
              </w:rPr>
              <w:t>student has met the initial submission deadlines, a student may be given one opportunity to retake a completed assessment after a summative grade has been given. The circumstances for this could be that a student has just missed a pass/merit/distinction grade for a unit. The original evidence for an assessment that has been submitted can remain valid and can be extended, or it may need to be replaced partially or in full. The student must not have further guidance and support in producing further ev</w:t>
            </w:r>
            <w:r w:rsidR="00632456">
              <w:rPr>
                <w:sz w:val="24"/>
                <w:szCs w:val="24"/>
              </w:rPr>
              <w:t>idence.</w:t>
            </w:r>
          </w:p>
          <w:p w14:paraId="76E06627" w14:textId="77777777" w:rsidR="00A64C16" w:rsidRPr="00AB0A1B" w:rsidRDefault="00A64C16"/>
        </w:tc>
      </w:tr>
      <w:tr w:rsidR="00A64C16" w14:paraId="34E4538A" w14:textId="77777777" w:rsidTr="004C192A">
        <w:tc>
          <w:tcPr>
            <w:tcW w:w="521" w:type="dxa"/>
          </w:tcPr>
          <w:p w14:paraId="546B4B55" w14:textId="78712C2E" w:rsidR="00A64C16" w:rsidRDefault="00A64C16">
            <w:r>
              <w:lastRenderedPageBreak/>
              <w:t>8.</w:t>
            </w:r>
          </w:p>
        </w:tc>
        <w:tc>
          <w:tcPr>
            <w:tcW w:w="8506" w:type="dxa"/>
            <w:gridSpan w:val="3"/>
          </w:tcPr>
          <w:p w14:paraId="3335E022" w14:textId="1AFB2346" w:rsidR="00A64C16" w:rsidRPr="00AB0A1B" w:rsidRDefault="00A94B01" w:rsidP="00710D44">
            <w:pPr>
              <w:pStyle w:val="Heading1"/>
              <w:outlineLvl w:val="0"/>
            </w:pPr>
            <w:bookmarkStart w:id="10" w:name="_Toc440442733"/>
            <w:r w:rsidRPr="00AB0A1B">
              <w:t>Late Submission</w:t>
            </w:r>
            <w:bookmarkEnd w:id="10"/>
          </w:p>
        </w:tc>
      </w:tr>
      <w:tr w:rsidR="00A64C16" w14:paraId="1C5E3598" w14:textId="77777777" w:rsidTr="004C192A">
        <w:tc>
          <w:tcPr>
            <w:tcW w:w="521" w:type="dxa"/>
          </w:tcPr>
          <w:p w14:paraId="3665B125" w14:textId="77777777" w:rsidR="00A64C16" w:rsidRDefault="00A64C16"/>
        </w:tc>
        <w:tc>
          <w:tcPr>
            <w:tcW w:w="8506" w:type="dxa"/>
            <w:gridSpan w:val="3"/>
          </w:tcPr>
          <w:p w14:paraId="7649B460" w14:textId="77777777" w:rsidR="00CC0976" w:rsidRPr="00E32CFA" w:rsidRDefault="00CC0976" w:rsidP="00CC0976">
            <w:pPr>
              <w:rPr>
                <w:sz w:val="24"/>
                <w:szCs w:val="24"/>
              </w:rPr>
            </w:pPr>
            <w:bookmarkStart w:id="11" w:name="_Toc438546731"/>
            <w:bookmarkStart w:id="12" w:name="_Toc438546820"/>
            <w:r w:rsidRPr="00E32CFA">
              <w:rPr>
                <w:sz w:val="24"/>
                <w:szCs w:val="24"/>
              </w:rPr>
              <w:t>The development of employability skills is an important part of the course. It is important that students are not advantaged by having additional time to complete assignments.</w:t>
            </w:r>
            <w:bookmarkEnd w:id="11"/>
            <w:bookmarkEnd w:id="12"/>
          </w:p>
          <w:p w14:paraId="0499C236" w14:textId="77777777" w:rsidR="00CC0976" w:rsidRPr="00E32CFA" w:rsidRDefault="00CC0976" w:rsidP="00CC0976">
            <w:pPr>
              <w:rPr>
                <w:sz w:val="24"/>
                <w:szCs w:val="24"/>
              </w:rPr>
            </w:pPr>
          </w:p>
          <w:p w14:paraId="19BC447F" w14:textId="70EE73CA" w:rsidR="00CC0976" w:rsidRPr="005C04B5" w:rsidRDefault="00CC0976" w:rsidP="00CC0976">
            <w:pPr>
              <w:rPr>
                <w:sz w:val="24"/>
                <w:szCs w:val="24"/>
              </w:rPr>
            </w:pPr>
            <w:bookmarkStart w:id="13" w:name="_Toc438546732"/>
            <w:bookmarkStart w:id="14" w:name="_Toc438546821"/>
            <w:r w:rsidRPr="00E32CFA">
              <w:rPr>
                <w:sz w:val="24"/>
                <w:szCs w:val="24"/>
              </w:rPr>
              <w:t xml:space="preserve">Where an assessment is submitted after the published deadline and where extenuating circumstances form has not been submitted, this will be treated as a non-submission. Students will be offered a reassessment at the next available opportunity. </w:t>
            </w:r>
            <w:r w:rsidRPr="00632456">
              <w:rPr>
                <w:sz w:val="24"/>
                <w:szCs w:val="24"/>
              </w:rPr>
              <w:t xml:space="preserve">Merit and Distinction criteria will not be included in the reassessment brief. </w:t>
            </w:r>
            <w:r w:rsidR="005C04B5" w:rsidRPr="00632456">
              <w:rPr>
                <w:sz w:val="24"/>
                <w:szCs w:val="24"/>
              </w:rPr>
              <w:t>Where a student does not achieve a Pass grade the student will be offered one retake at the next available opportunity.</w:t>
            </w:r>
            <w:r w:rsidR="00632456">
              <w:rPr>
                <w:i/>
                <w:sz w:val="24"/>
                <w:szCs w:val="24"/>
              </w:rPr>
              <w:t xml:space="preserve"> </w:t>
            </w:r>
            <w:r w:rsidRPr="005C04B5">
              <w:rPr>
                <w:sz w:val="24"/>
                <w:szCs w:val="24"/>
              </w:rPr>
              <w:t>Where an extenuating circumstance has been accepted by the College the grade is not capped unless the task is already “Referred.”</w:t>
            </w:r>
            <w:bookmarkEnd w:id="13"/>
            <w:bookmarkEnd w:id="14"/>
          </w:p>
          <w:p w14:paraId="669C7C6C" w14:textId="77777777" w:rsidR="00A64C16" w:rsidRPr="00AB0A1B" w:rsidRDefault="00A64C16"/>
        </w:tc>
      </w:tr>
      <w:tr w:rsidR="00A64C16" w14:paraId="3E8374F9" w14:textId="77777777" w:rsidTr="004C192A">
        <w:tc>
          <w:tcPr>
            <w:tcW w:w="521" w:type="dxa"/>
          </w:tcPr>
          <w:p w14:paraId="653AD372" w14:textId="77777777" w:rsidR="00A64C16" w:rsidRDefault="00A64C16">
            <w:r>
              <w:t>9.</w:t>
            </w:r>
          </w:p>
        </w:tc>
        <w:tc>
          <w:tcPr>
            <w:tcW w:w="8506" w:type="dxa"/>
            <w:gridSpan w:val="3"/>
          </w:tcPr>
          <w:p w14:paraId="1CCEA458" w14:textId="7EE73419" w:rsidR="00A64C16" w:rsidRPr="00AB0A1B" w:rsidRDefault="00A94B01" w:rsidP="00710D44">
            <w:pPr>
              <w:pStyle w:val="Heading1"/>
              <w:outlineLvl w:val="0"/>
            </w:pPr>
            <w:bookmarkStart w:id="15" w:name="_Toc440442734"/>
            <w:r w:rsidRPr="00AB0A1B">
              <w:t>Failure of  a Unit</w:t>
            </w:r>
            <w:bookmarkEnd w:id="15"/>
          </w:p>
        </w:tc>
      </w:tr>
      <w:tr w:rsidR="00A64C16" w14:paraId="583CCDC4" w14:textId="77777777" w:rsidTr="004C192A">
        <w:tc>
          <w:tcPr>
            <w:tcW w:w="521" w:type="dxa"/>
          </w:tcPr>
          <w:p w14:paraId="542B465A" w14:textId="77777777" w:rsidR="00A64C16" w:rsidRDefault="00A64C16"/>
        </w:tc>
        <w:tc>
          <w:tcPr>
            <w:tcW w:w="8506" w:type="dxa"/>
            <w:gridSpan w:val="3"/>
          </w:tcPr>
          <w:p w14:paraId="1B36D8FE" w14:textId="77777777" w:rsidR="00CC0976" w:rsidRPr="00AB0A1B" w:rsidRDefault="00CC0976" w:rsidP="00CC0976">
            <w:pPr>
              <w:rPr>
                <w:sz w:val="24"/>
                <w:szCs w:val="24"/>
              </w:rPr>
            </w:pPr>
            <w:bookmarkStart w:id="16" w:name="_Toc438546734"/>
            <w:bookmarkStart w:id="17" w:name="_Toc438546823"/>
            <w:r w:rsidRPr="00AB0A1B">
              <w:rPr>
                <w:sz w:val="24"/>
                <w:szCs w:val="24"/>
              </w:rPr>
              <w:t>A student who does not achieve the requirements to pass a unit has failed that unit</w:t>
            </w:r>
            <w:r w:rsidRPr="00AB0A1B">
              <w:rPr>
                <w:b/>
                <w:sz w:val="24"/>
                <w:szCs w:val="24"/>
              </w:rPr>
              <w:t xml:space="preserve">. </w:t>
            </w:r>
            <w:r w:rsidRPr="00AB0A1B">
              <w:rPr>
                <w:sz w:val="24"/>
                <w:szCs w:val="24"/>
              </w:rPr>
              <w:t>The circumstances in which a unit can be failed are:</w:t>
            </w:r>
            <w:bookmarkEnd w:id="16"/>
            <w:bookmarkEnd w:id="17"/>
          </w:p>
          <w:p w14:paraId="222F4A23" w14:textId="77777777" w:rsidR="00CC0976" w:rsidRPr="00AB0A1B" w:rsidRDefault="00CC0976" w:rsidP="00CC0976">
            <w:pPr>
              <w:ind w:left="360"/>
              <w:rPr>
                <w:sz w:val="24"/>
                <w:szCs w:val="24"/>
              </w:rPr>
            </w:pPr>
          </w:p>
          <w:p w14:paraId="0B3BED98" w14:textId="77777777" w:rsidR="00CC0976" w:rsidRPr="00C7221A" w:rsidRDefault="00C7221A" w:rsidP="00C7221A">
            <w:pPr>
              <w:pStyle w:val="ListParagraph"/>
              <w:numPr>
                <w:ilvl w:val="0"/>
                <w:numId w:val="9"/>
              </w:numPr>
              <w:rPr>
                <w:sz w:val="24"/>
                <w:szCs w:val="24"/>
              </w:rPr>
            </w:pPr>
            <w:r>
              <w:rPr>
                <w:sz w:val="24"/>
                <w:szCs w:val="24"/>
              </w:rPr>
              <w:t>F</w:t>
            </w:r>
            <w:r w:rsidR="00CC0976" w:rsidRPr="00C7221A">
              <w:rPr>
                <w:sz w:val="24"/>
                <w:szCs w:val="24"/>
              </w:rPr>
              <w:t>ollowing first attempt and referral, the student has not made any</w:t>
            </w:r>
          </w:p>
          <w:p w14:paraId="1516A1A2" w14:textId="77777777" w:rsidR="00CC0976" w:rsidRPr="00C7221A" w:rsidRDefault="00CC0976" w:rsidP="00C7221A">
            <w:pPr>
              <w:pStyle w:val="ListParagraph"/>
              <w:ind w:left="1080"/>
              <w:rPr>
                <w:sz w:val="24"/>
                <w:szCs w:val="24"/>
              </w:rPr>
            </w:pPr>
            <w:r w:rsidRPr="00C7221A">
              <w:rPr>
                <w:sz w:val="24"/>
                <w:szCs w:val="24"/>
              </w:rPr>
              <w:t>valid attempt in one or more assessment tasks i.e. non submission;</w:t>
            </w:r>
          </w:p>
          <w:p w14:paraId="20438D49" w14:textId="77777777" w:rsidR="00CC0976" w:rsidRPr="00C7221A" w:rsidRDefault="00C7221A" w:rsidP="00C7221A">
            <w:pPr>
              <w:pStyle w:val="ListParagraph"/>
              <w:numPr>
                <w:ilvl w:val="0"/>
                <w:numId w:val="9"/>
              </w:numPr>
              <w:rPr>
                <w:sz w:val="24"/>
                <w:szCs w:val="24"/>
              </w:rPr>
            </w:pPr>
            <w:r>
              <w:rPr>
                <w:sz w:val="24"/>
                <w:szCs w:val="24"/>
              </w:rPr>
              <w:t>F</w:t>
            </w:r>
            <w:r w:rsidR="00CC0976" w:rsidRPr="00C7221A">
              <w:rPr>
                <w:sz w:val="24"/>
                <w:szCs w:val="24"/>
              </w:rPr>
              <w:t>ollowing referral, the student does not achieve the minimum overall</w:t>
            </w:r>
          </w:p>
          <w:p w14:paraId="5A8FDD4B" w14:textId="77777777" w:rsidR="00C7221A" w:rsidRPr="00C7221A" w:rsidRDefault="00CC0976" w:rsidP="00C7221A">
            <w:pPr>
              <w:pStyle w:val="ListParagraph"/>
              <w:ind w:left="1080"/>
              <w:rPr>
                <w:sz w:val="24"/>
                <w:szCs w:val="24"/>
              </w:rPr>
            </w:pPr>
            <w:r w:rsidRPr="00C7221A">
              <w:rPr>
                <w:sz w:val="24"/>
                <w:szCs w:val="24"/>
              </w:rPr>
              <w:t xml:space="preserve">pass criteria in a unit; </w:t>
            </w:r>
          </w:p>
          <w:p w14:paraId="1395B15C" w14:textId="53E968C1" w:rsidR="00CC0976" w:rsidRPr="00AB0A1B" w:rsidRDefault="00C7221A" w:rsidP="002B0C82">
            <w:pPr>
              <w:pStyle w:val="ListParagraph"/>
              <w:numPr>
                <w:ilvl w:val="0"/>
                <w:numId w:val="9"/>
              </w:numPr>
            </w:pPr>
            <w:r>
              <w:rPr>
                <w:sz w:val="24"/>
                <w:szCs w:val="24"/>
              </w:rPr>
              <w:t>W</w:t>
            </w:r>
            <w:r w:rsidR="00CC0976" w:rsidRPr="00C7221A">
              <w:rPr>
                <w:sz w:val="24"/>
                <w:szCs w:val="24"/>
              </w:rPr>
              <w:t>here failure in a unit is the sanction set by an academic offence.</w:t>
            </w:r>
          </w:p>
          <w:p w14:paraId="70C1DCB4" w14:textId="77777777" w:rsidR="00A64C16" w:rsidRPr="00AB0A1B" w:rsidRDefault="00A64C16"/>
        </w:tc>
      </w:tr>
      <w:tr w:rsidR="00A64C16" w14:paraId="547F40FB" w14:textId="77777777" w:rsidTr="004C192A">
        <w:tc>
          <w:tcPr>
            <w:tcW w:w="521" w:type="dxa"/>
          </w:tcPr>
          <w:p w14:paraId="2FAEB318" w14:textId="77777777" w:rsidR="00A64C16" w:rsidRDefault="00A64C16">
            <w:r>
              <w:lastRenderedPageBreak/>
              <w:t>10.</w:t>
            </w:r>
          </w:p>
        </w:tc>
        <w:tc>
          <w:tcPr>
            <w:tcW w:w="8506" w:type="dxa"/>
            <w:gridSpan w:val="3"/>
          </w:tcPr>
          <w:p w14:paraId="5C195FDB" w14:textId="1B00160F" w:rsidR="00A64C16" w:rsidRPr="00AB0A1B" w:rsidRDefault="00A94B01" w:rsidP="00710D44">
            <w:pPr>
              <w:pStyle w:val="Heading1"/>
              <w:outlineLvl w:val="0"/>
            </w:pPr>
            <w:bookmarkStart w:id="18" w:name="_Toc440442735"/>
            <w:r w:rsidRPr="00AB0A1B">
              <w:t>Progression</w:t>
            </w:r>
            <w:bookmarkEnd w:id="18"/>
          </w:p>
        </w:tc>
      </w:tr>
      <w:tr w:rsidR="00A64C16" w14:paraId="00C89A8D" w14:textId="77777777" w:rsidTr="004C192A">
        <w:tc>
          <w:tcPr>
            <w:tcW w:w="521" w:type="dxa"/>
          </w:tcPr>
          <w:p w14:paraId="30ECB0A8" w14:textId="77777777" w:rsidR="00A64C16" w:rsidRDefault="00A64C16"/>
        </w:tc>
        <w:tc>
          <w:tcPr>
            <w:tcW w:w="8506" w:type="dxa"/>
            <w:gridSpan w:val="3"/>
          </w:tcPr>
          <w:p w14:paraId="0341DDD9" w14:textId="77777777" w:rsidR="00CC0976" w:rsidRPr="00E32CFA" w:rsidRDefault="00CC0976" w:rsidP="00CC0976">
            <w:pPr>
              <w:rPr>
                <w:sz w:val="24"/>
                <w:szCs w:val="24"/>
              </w:rPr>
            </w:pPr>
            <w:bookmarkStart w:id="19" w:name="_Toc438546737"/>
            <w:bookmarkStart w:id="20" w:name="_Toc438546826"/>
            <w:r w:rsidRPr="00E32CFA">
              <w:rPr>
                <w:sz w:val="24"/>
                <w:szCs w:val="24"/>
              </w:rPr>
              <w:t>Where a student passes all units for a given academic year, the student will normally progress to the next stage or level.</w:t>
            </w:r>
            <w:bookmarkEnd w:id="19"/>
            <w:bookmarkEnd w:id="20"/>
          </w:p>
          <w:p w14:paraId="10E885E2" w14:textId="77777777" w:rsidR="00CC0976" w:rsidRPr="00E32CFA" w:rsidRDefault="00CC0976" w:rsidP="00CC0976">
            <w:pPr>
              <w:ind w:left="360"/>
              <w:rPr>
                <w:sz w:val="24"/>
                <w:szCs w:val="24"/>
              </w:rPr>
            </w:pPr>
          </w:p>
          <w:p w14:paraId="4364DD7C" w14:textId="77777777" w:rsidR="00CC0976" w:rsidRPr="00E32CFA" w:rsidRDefault="00CC0976" w:rsidP="00CC0976">
            <w:pPr>
              <w:rPr>
                <w:sz w:val="24"/>
                <w:szCs w:val="24"/>
              </w:rPr>
            </w:pPr>
            <w:r w:rsidRPr="00E32CFA">
              <w:rPr>
                <w:sz w:val="24"/>
                <w:szCs w:val="24"/>
              </w:rPr>
              <w:t>Where a student has not passed all the units but has had extenuating circumstance accepted at either the first assessment or a reassessment point (deferral), then they will be allowed to progress with a further opportunity at reassessment, at the discretion of the Assessment Board.</w:t>
            </w:r>
          </w:p>
          <w:p w14:paraId="0F91B93D" w14:textId="77777777" w:rsidR="00CC0976" w:rsidRPr="00E32CFA" w:rsidRDefault="00CC0976" w:rsidP="00CC0976">
            <w:pPr>
              <w:ind w:left="360"/>
              <w:rPr>
                <w:sz w:val="24"/>
                <w:szCs w:val="24"/>
              </w:rPr>
            </w:pPr>
          </w:p>
          <w:p w14:paraId="6B25CEAE" w14:textId="22B61AFE" w:rsidR="00CC0976" w:rsidRPr="00E32CFA" w:rsidRDefault="00CC0976" w:rsidP="00CC0976">
            <w:pPr>
              <w:rPr>
                <w:sz w:val="24"/>
                <w:szCs w:val="24"/>
              </w:rPr>
            </w:pPr>
            <w:r w:rsidRPr="00E32CFA">
              <w:rPr>
                <w:sz w:val="24"/>
                <w:szCs w:val="24"/>
              </w:rPr>
              <w:t xml:space="preserve">Where a student has failed </w:t>
            </w:r>
            <w:r w:rsidR="00812FF2">
              <w:rPr>
                <w:sz w:val="24"/>
                <w:szCs w:val="24"/>
              </w:rPr>
              <w:t xml:space="preserve">units the student will </w:t>
            </w:r>
            <w:r w:rsidRPr="00E32CFA">
              <w:rPr>
                <w:sz w:val="24"/>
                <w:szCs w:val="24"/>
              </w:rPr>
              <w:t>not be allowed to progress until these units have been passed.</w:t>
            </w:r>
          </w:p>
          <w:p w14:paraId="2476E8AA" w14:textId="77777777" w:rsidR="00A64C16" w:rsidRPr="00AB0A1B" w:rsidRDefault="00A64C16"/>
        </w:tc>
      </w:tr>
      <w:tr w:rsidR="00A64C16" w14:paraId="50967640" w14:textId="77777777" w:rsidTr="004C192A">
        <w:tc>
          <w:tcPr>
            <w:tcW w:w="521" w:type="dxa"/>
          </w:tcPr>
          <w:p w14:paraId="2ADDD011" w14:textId="77777777" w:rsidR="00A64C16" w:rsidRDefault="00A64C16">
            <w:r>
              <w:t>11.</w:t>
            </w:r>
          </w:p>
        </w:tc>
        <w:tc>
          <w:tcPr>
            <w:tcW w:w="8506" w:type="dxa"/>
            <w:gridSpan w:val="3"/>
          </w:tcPr>
          <w:p w14:paraId="1A83E28A" w14:textId="00130226" w:rsidR="00A64C16" w:rsidRPr="00AB0A1B" w:rsidRDefault="00A94B01" w:rsidP="00710D44">
            <w:pPr>
              <w:pStyle w:val="Heading1"/>
              <w:outlineLvl w:val="0"/>
            </w:pPr>
            <w:bookmarkStart w:id="21" w:name="_Toc440442736"/>
            <w:r w:rsidRPr="00AB0A1B">
              <w:t>Assessment Board</w:t>
            </w:r>
            <w:bookmarkEnd w:id="21"/>
          </w:p>
        </w:tc>
      </w:tr>
      <w:tr w:rsidR="00903BBC" w14:paraId="632E842B" w14:textId="77777777" w:rsidTr="004C192A">
        <w:trPr>
          <w:trHeight w:val="495"/>
        </w:trPr>
        <w:tc>
          <w:tcPr>
            <w:tcW w:w="521" w:type="dxa"/>
            <w:vMerge w:val="restart"/>
          </w:tcPr>
          <w:p w14:paraId="37435A97" w14:textId="77777777" w:rsidR="00903BBC" w:rsidRDefault="00903BBC"/>
        </w:tc>
        <w:tc>
          <w:tcPr>
            <w:tcW w:w="644" w:type="dxa"/>
          </w:tcPr>
          <w:p w14:paraId="2DF73337" w14:textId="77777777" w:rsidR="00903BBC" w:rsidRPr="00AB0A1B" w:rsidRDefault="00903BBC" w:rsidP="00903BBC">
            <w:pPr>
              <w:rPr>
                <w:sz w:val="24"/>
                <w:szCs w:val="24"/>
              </w:rPr>
            </w:pPr>
            <w:bookmarkStart w:id="22" w:name="_Toc438556899"/>
            <w:r w:rsidRPr="00AB0A1B">
              <w:rPr>
                <w:lang w:eastAsia="en-GB"/>
              </w:rPr>
              <w:t>11.1</w:t>
            </w:r>
            <w:bookmarkEnd w:id="22"/>
          </w:p>
          <w:p w14:paraId="7F748F15" w14:textId="77777777" w:rsidR="00903BBC" w:rsidRPr="00AB0A1B" w:rsidRDefault="00903BBC"/>
        </w:tc>
        <w:tc>
          <w:tcPr>
            <w:tcW w:w="7862" w:type="dxa"/>
            <w:gridSpan w:val="2"/>
          </w:tcPr>
          <w:p w14:paraId="35A20B1F" w14:textId="208F87BC" w:rsidR="00903BBC" w:rsidRDefault="00903BBC" w:rsidP="00A63BA7">
            <w:pPr>
              <w:pStyle w:val="Heading2"/>
              <w:spacing w:before="0"/>
              <w:outlineLvl w:val="1"/>
            </w:pPr>
            <w:bookmarkStart w:id="23" w:name="_Toc440442737"/>
            <w:r w:rsidRPr="00AB0A1B">
              <w:t>Terms of Reference</w:t>
            </w:r>
            <w:bookmarkEnd w:id="23"/>
          </w:p>
          <w:p w14:paraId="24916CB8" w14:textId="77777777" w:rsidR="00A63BA7" w:rsidRDefault="00A63BA7" w:rsidP="00A63BA7"/>
          <w:p w14:paraId="7A049B1E" w14:textId="77777777" w:rsidR="00A63BA7" w:rsidRPr="00E32CFA" w:rsidRDefault="00A63BA7" w:rsidP="00A63BA7">
            <w:pPr>
              <w:rPr>
                <w:sz w:val="24"/>
                <w:szCs w:val="24"/>
              </w:rPr>
            </w:pPr>
            <w:r w:rsidRPr="00E32CFA">
              <w:rPr>
                <w:sz w:val="24"/>
                <w:szCs w:val="24"/>
              </w:rPr>
              <w:t>Assessment Boards are authorised to:</w:t>
            </w:r>
          </w:p>
          <w:p w14:paraId="1DBFCAA8" w14:textId="77777777" w:rsidR="00A63BA7" w:rsidRPr="00E32CFA" w:rsidRDefault="00A63BA7" w:rsidP="00A63BA7">
            <w:pPr>
              <w:ind w:left="360"/>
              <w:rPr>
                <w:sz w:val="24"/>
                <w:szCs w:val="24"/>
              </w:rPr>
            </w:pPr>
          </w:p>
          <w:p w14:paraId="61CE5324" w14:textId="77777777" w:rsidR="00A63BA7" w:rsidRPr="00C7221A" w:rsidRDefault="00C7221A" w:rsidP="00C7221A">
            <w:pPr>
              <w:pStyle w:val="ListParagraph"/>
              <w:numPr>
                <w:ilvl w:val="0"/>
                <w:numId w:val="9"/>
              </w:numPr>
              <w:ind w:left="720"/>
              <w:rPr>
                <w:sz w:val="24"/>
                <w:szCs w:val="24"/>
              </w:rPr>
            </w:pPr>
            <w:r>
              <w:rPr>
                <w:sz w:val="24"/>
                <w:szCs w:val="24"/>
              </w:rPr>
              <w:t>A</w:t>
            </w:r>
            <w:r w:rsidR="00A63BA7" w:rsidRPr="00C7221A">
              <w:rPr>
                <w:sz w:val="24"/>
                <w:szCs w:val="24"/>
              </w:rPr>
              <w:t>gree unit grades;</w:t>
            </w:r>
          </w:p>
          <w:p w14:paraId="43586A30" w14:textId="77777777" w:rsidR="00A63BA7" w:rsidRPr="00C7221A" w:rsidRDefault="00C7221A" w:rsidP="00C7221A">
            <w:pPr>
              <w:pStyle w:val="ListParagraph"/>
              <w:numPr>
                <w:ilvl w:val="0"/>
                <w:numId w:val="9"/>
              </w:numPr>
              <w:ind w:left="720"/>
              <w:rPr>
                <w:sz w:val="24"/>
                <w:szCs w:val="24"/>
              </w:rPr>
            </w:pPr>
            <w:r>
              <w:rPr>
                <w:sz w:val="24"/>
                <w:szCs w:val="24"/>
              </w:rPr>
              <w:t>A</w:t>
            </w:r>
            <w:r w:rsidR="00A63BA7" w:rsidRPr="00C7221A">
              <w:rPr>
                <w:sz w:val="24"/>
                <w:szCs w:val="24"/>
              </w:rPr>
              <w:t>gree progression of students onto the next stage of the programme;</w:t>
            </w:r>
          </w:p>
          <w:p w14:paraId="31EE92AC" w14:textId="77777777" w:rsidR="00A63BA7" w:rsidRPr="00C7221A" w:rsidRDefault="00C7221A" w:rsidP="00C7221A">
            <w:pPr>
              <w:pStyle w:val="ListParagraph"/>
              <w:numPr>
                <w:ilvl w:val="0"/>
                <w:numId w:val="9"/>
              </w:numPr>
              <w:ind w:left="720"/>
              <w:rPr>
                <w:sz w:val="24"/>
                <w:szCs w:val="24"/>
              </w:rPr>
            </w:pPr>
            <w:r>
              <w:rPr>
                <w:sz w:val="24"/>
                <w:szCs w:val="24"/>
              </w:rPr>
              <w:t>A</w:t>
            </w:r>
            <w:r w:rsidR="00A63BA7" w:rsidRPr="00C7221A">
              <w:rPr>
                <w:sz w:val="24"/>
                <w:szCs w:val="24"/>
              </w:rPr>
              <w:t>gree the awards to be made to students;</w:t>
            </w:r>
          </w:p>
          <w:p w14:paraId="287DA528" w14:textId="77777777" w:rsidR="00A63BA7" w:rsidRPr="00C7221A" w:rsidRDefault="00C7221A" w:rsidP="00C7221A">
            <w:pPr>
              <w:pStyle w:val="ListParagraph"/>
              <w:numPr>
                <w:ilvl w:val="0"/>
                <w:numId w:val="9"/>
              </w:numPr>
              <w:ind w:left="720"/>
              <w:rPr>
                <w:sz w:val="24"/>
                <w:szCs w:val="24"/>
              </w:rPr>
            </w:pPr>
            <w:r>
              <w:rPr>
                <w:sz w:val="24"/>
                <w:szCs w:val="24"/>
              </w:rPr>
              <w:t>A</w:t>
            </w:r>
            <w:r w:rsidR="00A63BA7" w:rsidRPr="00C7221A">
              <w:rPr>
                <w:sz w:val="24"/>
                <w:szCs w:val="24"/>
              </w:rPr>
              <w:t>gree any accepted extenuating circumstances;</w:t>
            </w:r>
          </w:p>
          <w:p w14:paraId="7735ACBF" w14:textId="77777777" w:rsidR="00A63BA7" w:rsidRPr="00C7221A" w:rsidRDefault="00C7221A" w:rsidP="00C7221A">
            <w:pPr>
              <w:pStyle w:val="ListParagraph"/>
              <w:numPr>
                <w:ilvl w:val="0"/>
                <w:numId w:val="9"/>
              </w:numPr>
              <w:ind w:left="720"/>
              <w:rPr>
                <w:sz w:val="24"/>
                <w:szCs w:val="24"/>
              </w:rPr>
            </w:pPr>
            <w:r>
              <w:rPr>
                <w:sz w:val="24"/>
                <w:szCs w:val="24"/>
              </w:rPr>
              <w:t>N</w:t>
            </w:r>
            <w:r w:rsidR="00A63BA7" w:rsidRPr="00C7221A">
              <w:rPr>
                <w:sz w:val="24"/>
                <w:szCs w:val="24"/>
              </w:rPr>
              <w:t>ote any academic offences;</w:t>
            </w:r>
          </w:p>
          <w:p w14:paraId="61310496" w14:textId="77777777" w:rsidR="00A63BA7" w:rsidRPr="00C7221A" w:rsidRDefault="00C7221A" w:rsidP="00C7221A">
            <w:pPr>
              <w:pStyle w:val="ListParagraph"/>
              <w:numPr>
                <w:ilvl w:val="0"/>
                <w:numId w:val="9"/>
              </w:numPr>
              <w:ind w:left="720"/>
              <w:rPr>
                <w:sz w:val="24"/>
                <w:szCs w:val="24"/>
              </w:rPr>
            </w:pPr>
            <w:r>
              <w:rPr>
                <w:sz w:val="24"/>
                <w:szCs w:val="24"/>
              </w:rPr>
              <w:t>I</w:t>
            </w:r>
            <w:r w:rsidR="00A63BA7" w:rsidRPr="00C7221A">
              <w:rPr>
                <w:sz w:val="24"/>
                <w:szCs w:val="24"/>
              </w:rPr>
              <w:t>dentify referrals and deferrals;</w:t>
            </w:r>
          </w:p>
          <w:p w14:paraId="3089C93B" w14:textId="77777777" w:rsidR="00A63BA7" w:rsidRPr="00C7221A" w:rsidRDefault="00C7221A" w:rsidP="00C7221A">
            <w:pPr>
              <w:pStyle w:val="ListParagraph"/>
              <w:numPr>
                <w:ilvl w:val="0"/>
                <w:numId w:val="9"/>
              </w:numPr>
              <w:ind w:left="720"/>
              <w:rPr>
                <w:sz w:val="24"/>
                <w:szCs w:val="24"/>
              </w:rPr>
            </w:pPr>
            <w:r>
              <w:rPr>
                <w:sz w:val="24"/>
                <w:szCs w:val="24"/>
              </w:rPr>
              <w:t>C</w:t>
            </w:r>
            <w:r w:rsidR="00A63BA7" w:rsidRPr="00C7221A">
              <w:rPr>
                <w:sz w:val="24"/>
                <w:szCs w:val="24"/>
              </w:rPr>
              <w:t>onsider comm</w:t>
            </w:r>
            <w:r w:rsidR="00712B4C">
              <w:rPr>
                <w:sz w:val="24"/>
                <w:szCs w:val="24"/>
              </w:rPr>
              <w:t>ents of the External Examiner (</w:t>
            </w:r>
            <w:r w:rsidR="00A63BA7" w:rsidRPr="00C7221A">
              <w:rPr>
                <w:sz w:val="24"/>
                <w:szCs w:val="24"/>
              </w:rPr>
              <w:t>Standards Verifier)</w:t>
            </w:r>
            <w:r>
              <w:rPr>
                <w:sz w:val="24"/>
                <w:szCs w:val="24"/>
              </w:rPr>
              <w:t>;</w:t>
            </w:r>
          </w:p>
          <w:p w14:paraId="30F9B500" w14:textId="77777777" w:rsidR="00A63BA7" w:rsidRPr="00C7221A" w:rsidRDefault="00C7221A" w:rsidP="00C7221A">
            <w:pPr>
              <w:pStyle w:val="ListParagraph"/>
              <w:numPr>
                <w:ilvl w:val="0"/>
                <w:numId w:val="9"/>
              </w:numPr>
              <w:ind w:left="720"/>
              <w:rPr>
                <w:sz w:val="24"/>
                <w:szCs w:val="24"/>
              </w:rPr>
            </w:pPr>
            <w:r>
              <w:rPr>
                <w:sz w:val="24"/>
                <w:szCs w:val="24"/>
              </w:rPr>
              <w:t>C</w:t>
            </w:r>
            <w:r w:rsidR="00A63BA7" w:rsidRPr="00C7221A">
              <w:rPr>
                <w:sz w:val="24"/>
                <w:szCs w:val="24"/>
              </w:rPr>
              <w:t>onfirm the nominated team representative who will ente</w:t>
            </w:r>
            <w:r w:rsidR="00712B4C">
              <w:rPr>
                <w:sz w:val="24"/>
                <w:szCs w:val="24"/>
              </w:rPr>
              <w:t>r student marks on to Pearson (</w:t>
            </w:r>
            <w:r w:rsidR="00A63BA7" w:rsidRPr="00C7221A">
              <w:rPr>
                <w:sz w:val="24"/>
                <w:szCs w:val="24"/>
              </w:rPr>
              <w:t>Edexcel) online</w:t>
            </w:r>
            <w:r w:rsidR="009F2350" w:rsidRPr="00C7221A">
              <w:rPr>
                <w:sz w:val="24"/>
                <w:szCs w:val="24"/>
              </w:rPr>
              <w:t>.</w:t>
            </w:r>
            <w:r w:rsidR="00A63BA7" w:rsidRPr="00C7221A">
              <w:rPr>
                <w:sz w:val="24"/>
                <w:szCs w:val="24"/>
              </w:rPr>
              <w:t xml:space="preserve"> </w:t>
            </w:r>
          </w:p>
          <w:p w14:paraId="76A18F4C" w14:textId="77777777" w:rsidR="009F2350" w:rsidRDefault="009F2350" w:rsidP="00A63BA7">
            <w:pPr>
              <w:rPr>
                <w:sz w:val="24"/>
                <w:szCs w:val="24"/>
              </w:rPr>
            </w:pPr>
          </w:p>
          <w:p w14:paraId="2F034FB2" w14:textId="77777777" w:rsidR="00A63BA7" w:rsidRPr="00E32CFA" w:rsidRDefault="00A63BA7" w:rsidP="00A63BA7">
            <w:pPr>
              <w:rPr>
                <w:sz w:val="24"/>
                <w:szCs w:val="24"/>
              </w:rPr>
            </w:pPr>
            <w:r w:rsidRPr="00E32CFA">
              <w:rPr>
                <w:sz w:val="24"/>
                <w:szCs w:val="24"/>
              </w:rPr>
              <w:t>The membership of the Assessment Board shall be as follows:</w:t>
            </w:r>
          </w:p>
          <w:p w14:paraId="2D152786" w14:textId="77777777" w:rsidR="00A63BA7" w:rsidRPr="00E32CFA" w:rsidRDefault="00A63BA7" w:rsidP="00A63BA7">
            <w:pPr>
              <w:rPr>
                <w:sz w:val="24"/>
                <w:szCs w:val="24"/>
              </w:rPr>
            </w:pPr>
          </w:p>
          <w:p w14:paraId="1F99FA93" w14:textId="77777777" w:rsidR="00A63BA7" w:rsidRPr="00C7221A" w:rsidRDefault="00A63BA7" w:rsidP="00C7221A">
            <w:pPr>
              <w:pStyle w:val="ListParagraph"/>
              <w:numPr>
                <w:ilvl w:val="0"/>
                <w:numId w:val="10"/>
              </w:numPr>
              <w:rPr>
                <w:sz w:val="24"/>
                <w:szCs w:val="24"/>
              </w:rPr>
            </w:pPr>
            <w:r w:rsidRPr="00C7221A">
              <w:rPr>
                <w:sz w:val="24"/>
                <w:szCs w:val="24"/>
              </w:rPr>
              <w:t xml:space="preserve">The Chair (usually the Head of HE  Academic Standards, Validations and Quality or the Head/Deputy Head of Department in which the programme is based, or his/her nominated representative provided they are not involved in </w:t>
            </w:r>
            <w:r w:rsidR="00450C71" w:rsidRPr="00C7221A">
              <w:rPr>
                <w:sz w:val="24"/>
                <w:szCs w:val="24"/>
              </w:rPr>
              <w:t>the delivery of the programme);</w:t>
            </w:r>
          </w:p>
          <w:p w14:paraId="712EAA66" w14:textId="77777777" w:rsidR="00A63BA7" w:rsidRPr="00C7221A" w:rsidRDefault="00450C71" w:rsidP="00C7221A">
            <w:pPr>
              <w:pStyle w:val="ListParagraph"/>
              <w:numPr>
                <w:ilvl w:val="0"/>
                <w:numId w:val="10"/>
              </w:numPr>
              <w:rPr>
                <w:rFonts w:cs="Arial"/>
                <w:sz w:val="24"/>
                <w:szCs w:val="24"/>
                <w:lang w:eastAsia="en-GB"/>
              </w:rPr>
            </w:pPr>
            <w:r w:rsidRPr="00C7221A">
              <w:rPr>
                <w:rFonts w:cs="Arial"/>
                <w:sz w:val="24"/>
                <w:szCs w:val="24"/>
                <w:lang w:eastAsia="en-GB"/>
              </w:rPr>
              <w:t>Information Services Manager (Higher Education)</w:t>
            </w:r>
            <w:r w:rsidRPr="00C7221A">
              <w:rPr>
                <w:sz w:val="24"/>
                <w:szCs w:val="24"/>
              </w:rPr>
              <w:t>;</w:t>
            </w:r>
            <w:r w:rsidR="00A63BA7" w:rsidRPr="00C7221A">
              <w:rPr>
                <w:sz w:val="24"/>
                <w:szCs w:val="24"/>
              </w:rPr>
              <w:t xml:space="preserve"> </w:t>
            </w:r>
          </w:p>
          <w:p w14:paraId="264BF275" w14:textId="77777777" w:rsidR="00A63BA7" w:rsidRPr="00C7221A" w:rsidRDefault="00A63BA7" w:rsidP="00C7221A">
            <w:pPr>
              <w:pStyle w:val="ListParagraph"/>
              <w:numPr>
                <w:ilvl w:val="0"/>
                <w:numId w:val="10"/>
              </w:numPr>
              <w:rPr>
                <w:sz w:val="24"/>
                <w:szCs w:val="24"/>
              </w:rPr>
            </w:pPr>
            <w:r w:rsidRPr="00C7221A">
              <w:rPr>
                <w:sz w:val="24"/>
                <w:szCs w:val="24"/>
              </w:rPr>
              <w:t>Programme Leader</w:t>
            </w:r>
            <w:r w:rsidR="00450C71" w:rsidRPr="00C7221A">
              <w:rPr>
                <w:sz w:val="24"/>
                <w:szCs w:val="24"/>
              </w:rPr>
              <w:t>;</w:t>
            </w:r>
          </w:p>
          <w:p w14:paraId="4AA13F74" w14:textId="77777777" w:rsidR="00A63BA7" w:rsidRPr="00C7221A" w:rsidRDefault="00FB0D62" w:rsidP="00C7221A">
            <w:pPr>
              <w:pStyle w:val="ListParagraph"/>
              <w:numPr>
                <w:ilvl w:val="0"/>
                <w:numId w:val="10"/>
              </w:numPr>
              <w:rPr>
                <w:sz w:val="24"/>
                <w:szCs w:val="24"/>
              </w:rPr>
            </w:pPr>
            <w:r>
              <w:rPr>
                <w:sz w:val="24"/>
                <w:szCs w:val="24"/>
              </w:rPr>
              <w:t xml:space="preserve">Unit Leaders/Internal Verifiers </w:t>
            </w:r>
            <w:r w:rsidR="00A63BA7" w:rsidRPr="00C7221A">
              <w:rPr>
                <w:sz w:val="24"/>
                <w:szCs w:val="24"/>
              </w:rPr>
              <w:t xml:space="preserve"> for the unit(s) being considered</w:t>
            </w:r>
            <w:r w:rsidR="00450C71" w:rsidRPr="00C7221A">
              <w:rPr>
                <w:sz w:val="24"/>
                <w:szCs w:val="24"/>
              </w:rPr>
              <w:t>;</w:t>
            </w:r>
          </w:p>
          <w:p w14:paraId="270C33E3" w14:textId="77777777" w:rsidR="00A63BA7" w:rsidRPr="00712B4C" w:rsidRDefault="00A63BA7" w:rsidP="00712B4C">
            <w:pPr>
              <w:pStyle w:val="ListParagraph"/>
              <w:numPr>
                <w:ilvl w:val="0"/>
                <w:numId w:val="10"/>
              </w:numPr>
              <w:rPr>
                <w:sz w:val="24"/>
                <w:szCs w:val="24"/>
              </w:rPr>
            </w:pPr>
            <w:r w:rsidRPr="00C7221A">
              <w:rPr>
                <w:sz w:val="24"/>
                <w:szCs w:val="24"/>
              </w:rPr>
              <w:t>External Examiner</w:t>
            </w:r>
            <w:r w:rsidR="00450C71" w:rsidRPr="00C7221A">
              <w:rPr>
                <w:sz w:val="24"/>
                <w:szCs w:val="24"/>
              </w:rPr>
              <w:t>.</w:t>
            </w:r>
          </w:p>
          <w:p w14:paraId="1A2F50C7" w14:textId="77777777" w:rsidR="00A63BA7" w:rsidRPr="00E32CFA" w:rsidRDefault="00A63BA7" w:rsidP="00A63BA7">
            <w:pPr>
              <w:ind w:left="360"/>
              <w:rPr>
                <w:sz w:val="24"/>
                <w:szCs w:val="24"/>
              </w:rPr>
            </w:pPr>
          </w:p>
          <w:p w14:paraId="243A9672" w14:textId="77777777" w:rsidR="00A63BA7" w:rsidRPr="00AB0A1B" w:rsidRDefault="00A63BA7" w:rsidP="00A63BA7">
            <w:pPr>
              <w:rPr>
                <w:i/>
                <w:sz w:val="24"/>
                <w:szCs w:val="24"/>
              </w:rPr>
            </w:pPr>
            <w:r w:rsidRPr="00AB0A1B">
              <w:rPr>
                <w:sz w:val="24"/>
                <w:szCs w:val="24"/>
              </w:rPr>
              <w:lastRenderedPageBreak/>
              <w:t>A full list of members of the Assessment Board must be signed by all members and the Assessment Boards.</w:t>
            </w:r>
          </w:p>
          <w:p w14:paraId="76AA5712" w14:textId="77777777" w:rsidR="00A63BA7" w:rsidRPr="00AB0A1B" w:rsidRDefault="00A63BA7" w:rsidP="00A63BA7">
            <w:pPr>
              <w:rPr>
                <w:sz w:val="24"/>
                <w:szCs w:val="24"/>
              </w:rPr>
            </w:pPr>
          </w:p>
          <w:p w14:paraId="7FDB4E90" w14:textId="77777777" w:rsidR="00A63BA7" w:rsidRPr="00AB0A1B" w:rsidRDefault="00A63BA7" w:rsidP="00A63BA7">
            <w:pPr>
              <w:autoSpaceDE w:val="0"/>
              <w:autoSpaceDN w:val="0"/>
              <w:adjustRightInd w:val="0"/>
              <w:rPr>
                <w:sz w:val="24"/>
                <w:szCs w:val="24"/>
              </w:rPr>
            </w:pPr>
            <w:r w:rsidRPr="00AB0A1B">
              <w:rPr>
                <w:sz w:val="24"/>
                <w:szCs w:val="24"/>
              </w:rPr>
              <w:t>The quorum for a meeting of an Assessment Board shall be four members, including the External Examiner, whose attendance is normally required. Exceptionally, where an External Examiner is unable to attend, the meeting may go ahead in their absence, provided that their comments are sought prior to the meeting and reported to the meeting.</w:t>
            </w:r>
          </w:p>
          <w:p w14:paraId="1B61E26D" w14:textId="77777777" w:rsidR="00A63BA7" w:rsidRPr="00AB0A1B" w:rsidRDefault="00A63BA7" w:rsidP="00A63BA7">
            <w:pPr>
              <w:autoSpaceDE w:val="0"/>
              <w:autoSpaceDN w:val="0"/>
              <w:adjustRightInd w:val="0"/>
              <w:ind w:left="720"/>
              <w:rPr>
                <w:sz w:val="24"/>
                <w:szCs w:val="24"/>
              </w:rPr>
            </w:pPr>
          </w:p>
          <w:p w14:paraId="153829AC" w14:textId="77777777" w:rsidR="00A63BA7" w:rsidRPr="00A63BA7" w:rsidRDefault="00A63BA7" w:rsidP="00A63BA7">
            <w:r w:rsidRPr="00AB0A1B">
              <w:rPr>
                <w:sz w:val="24"/>
                <w:szCs w:val="24"/>
              </w:rPr>
              <w:t xml:space="preserve">Departments may hold a pre-board to ensure that all the required information is available to the Assessment (Exam) Board. Dates for Assessment Boards shall be scheduled at the end of the academic year as published on </w:t>
            </w:r>
            <w:r>
              <w:rPr>
                <w:sz w:val="24"/>
                <w:szCs w:val="24"/>
              </w:rPr>
              <w:t>the HE Assessment Year Planner.</w:t>
            </w:r>
          </w:p>
          <w:p w14:paraId="26A35632" w14:textId="77777777" w:rsidR="00903BBC" w:rsidRPr="00AB0A1B" w:rsidRDefault="00903BBC" w:rsidP="00A63BA7"/>
        </w:tc>
      </w:tr>
      <w:tr w:rsidR="00903BBC" w14:paraId="7AB223AC" w14:textId="77777777" w:rsidTr="004C192A">
        <w:trPr>
          <w:trHeight w:val="362"/>
        </w:trPr>
        <w:tc>
          <w:tcPr>
            <w:tcW w:w="521" w:type="dxa"/>
            <w:vMerge/>
          </w:tcPr>
          <w:p w14:paraId="0A9154D1" w14:textId="77777777" w:rsidR="00903BBC" w:rsidRDefault="00903BBC"/>
        </w:tc>
        <w:tc>
          <w:tcPr>
            <w:tcW w:w="644" w:type="dxa"/>
          </w:tcPr>
          <w:p w14:paraId="046F9EAF" w14:textId="77777777" w:rsidR="00903BBC" w:rsidRPr="00AB0A1B" w:rsidRDefault="00903BBC" w:rsidP="00C7221A">
            <w:r w:rsidRPr="00AB0A1B">
              <w:t>11.2</w:t>
            </w:r>
          </w:p>
        </w:tc>
        <w:tc>
          <w:tcPr>
            <w:tcW w:w="7862" w:type="dxa"/>
            <w:gridSpan w:val="2"/>
          </w:tcPr>
          <w:p w14:paraId="4927615C" w14:textId="6CDBD0A2" w:rsidR="00903BBC" w:rsidRPr="00AB0A1B" w:rsidRDefault="00903BBC" w:rsidP="00A63BA7">
            <w:pPr>
              <w:pStyle w:val="Heading2"/>
              <w:spacing w:before="0"/>
              <w:outlineLvl w:val="1"/>
            </w:pPr>
            <w:bookmarkStart w:id="24" w:name="_Toc440442738"/>
            <w:r w:rsidRPr="00AB0A1B">
              <w:t>Order of Discussion</w:t>
            </w:r>
            <w:bookmarkEnd w:id="24"/>
            <w:r w:rsidRPr="00AB0A1B">
              <w:t xml:space="preserve"> </w:t>
            </w:r>
          </w:p>
          <w:p w14:paraId="06CEF2B2" w14:textId="77777777" w:rsidR="00A63BA7" w:rsidRPr="00AB0A1B" w:rsidRDefault="00A63BA7" w:rsidP="00A63BA7">
            <w:pPr>
              <w:autoSpaceDE w:val="0"/>
              <w:autoSpaceDN w:val="0"/>
              <w:adjustRightInd w:val="0"/>
              <w:rPr>
                <w:sz w:val="24"/>
                <w:szCs w:val="24"/>
              </w:rPr>
            </w:pPr>
            <w:r w:rsidRPr="00AB0A1B">
              <w:rPr>
                <w:sz w:val="24"/>
                <w:szCs w:val="24"/>
              </w:rPr>
              <w:t>The Chair should clearly identify the courses of action open to the Assessment Board.</w:t>
            </w:r>
          </w:p>
          <w:p w14:paraId="4C415C32" w14:textId="77777777" w:rsidR="00A63BA7" w:rsidRPr="00AB0A1B" w:rsidRDefault="00A63BA7" w:rsidP="00A63BA7">
            <w:pPr>
              <w:autoSpaceDE w:val="0"/>
              <w:autoSpaceDN w:val="0"/>
              <w:adjustRightInd w:val="0"/>
              <w:rPr>
                <w:sz w:val="24"/>
                <w:szCs w:val="24"/>
              </w:rPr>
            </w:pPr>
            <w:r w:rsidRPr="00AB0A1B">
              <w:rPr>
                <w:sz w:val="24"/>
                <w:szCs w:val="24"/>
              </w:rPr>
              <w:t>The unit assessment outcomes for each student should be conducted as follows:</w:t>
            </w:r>
          </w:p>
          <w:p w14:paraId="027AD996" w14:textId="77777777" w:rsidR="00A63BA7" w:rsidRPr="00AB0A1B" w:rsidRDefault="00A63BA7" w:rsidP="00A63BA7">
            <w:pPr>
              <w:autoSpaceDE w:val="0"/>
              <w:autoSpaceDN w:val="0"/>
              <w:adjustRightInd w:val="0"/>
              <w:rPr>
                <w:sz w:val="24"/>
                <w:szCs w:val="24"/>
              </w:rPr>
            </w:pPr>
          </w:p>
          <w:p w14:paraId="3DFA06CA" w14:textId="77777777" w:rsidR="00A63BA7" w:rsidRPr="00AB0A1B" w:rsidRDefault="00712B4C" w:rsidP="00712B4C">
            <w:pPr>
              <w:numPr>
                <w:ilvl w:val="0"/>
                <w:numId w:val="7"/>
              </w:numPr>
              <w:autoSpaceDE w:val="0"/>
              <w:autoSpaceDN w:val="0"/>
              <w:adjustRightInd w:val="0"/>
              <w:ind w:left="720"/>
              <w:rPr>
                <w:sz w:val="24"/>
                <w:szCs w:val="24"/>
              </w:rPr>
            </w:pPr>
            <w:r>
              <w:rPr>
                <w:sz w:val="24"/>
                <w:szCs w:val="24"/>
              </w:rPr>
              <w:t>T</w:t>
            </w:r>
            <w:r w:rsidR="00A63BA7" w:rsidRPr="00AB0A1B">
              <w:rPr>
                <w:sz w:val="24"/>
                <w:szCs w:val="24"/>
              </w:rPr>
              <w:t>he grades for each student should be considered;</w:t>
            </w:r>
          </w:p>
          <w:p w14:paraId="3BE34F2C" w14:textId="77777777" w:rsidR="00A63BA7" w:rsidRPr="00AB0A1B" w:rsidRDefault="00712B4C" w:rsidP="00712B4C">
            <w:pPr>
              <w:numPr>
                <w:ilvl w:val="0"/>
                <w:numId w:val="7"/>
              </w:numPr>
              <w:autoSpaceDE w:val="0"/>
              <w:autoSpaceDN w:val="0"/>
              <w:adjustRightInd w:val="0"/>
              <w:ind w:left="720"/>
              <w:rPr>
                <w:sz w:val="24"/>
                <w:szCs w:val="24"/>
              </w:rPr>
            </w:pPr>
            <w:r>
              <w:rPr>
                <w:sz w:val="24"/>
                <w:szCs w:val="24"/>
              </w:rPr>
              <w:t>A</w:t>
            </w:r>
            <w:r w:rsidR="00A63BA7" w:rsidRPr="00AB0A1B">
              <w:rPr>
                <w:sz w:val="24"/>
                <w:szCs w:val="24"/>
              </w:rPr>
              <w:t>ny amendment to the grades will be agreed and recorded on the</w:t>
            </w:r>
          </w:p>
          <w:p w14:paraId="1A612906" w14:textId="77777777" w:rsidR="00A63BA7" w:rsidRPr="00AB0A1B" w:rsidRDefault="00A63BA7" w:rsidP="00712B4C">
            <w:pPr>
              <w:autoSpaceDE w:val="0"/>
              <w:autoSpaceDN w:val="0"/>
              <w:adjustRightInd w:val="0"/>
              <w:ind w:firstLine="720"/>
              <w:rPr>
                <w:sz w:val="24"/>
                <w:szCs w:val="24"/>
              </w:rPr>
            </w:pPr>
            <w:r w:rsidRPr="00AB0A1B">
              <w:rPr>
                <w:sz w:val="24"/>
                <w:szCs w:val="24"/>
              </w:rPr>
              <w:t>grading sheet/grid;</w:t>
            </w:r>
          </w:p>
          <w:p w14:paraId="1C6F7D16" w14:textId="77777777" w:rsidR="00A63BA7" w:rsidRPr="00AB0A1B" w:rsidRDefault="00712B4C" w:rsidP="00712B4C">
            <w:pPr>
              <w:numPr>
                <w:ilvl w:val="0"/>
                <w:numId w:val="8"/>
              </w:numPr>
              <w:autoSpaceDE w:val="0"/>
              <w:autoSpaceDN w:val="0"/>
              <w:adjustRightInd w:val="0"/>
              <w:ind w:left="720"/>
              <w:rPr>
                <w:sz w:val="24"/>
                <w:szCs w:val="24"/>
              </w:rPr>
            </w:pPr>
            <w:r>
              <w:rPr>
                <w:sz w:val="24"/>
                <w:szCs w:val="24"/>
              </w:rPr>
              <w:t>T</w:t>
            </w:r>
            <w:r w:rsidR="00A63BA7" w:rsidRPr="00AB0A1B">
              <w:rPr>
                <w:sz w:val="24"/>
                <w:szCs w:val="24"/>
              </w:rPr>
              <w:t>he overall unit assessment outcomes for the student will be</w:t>
            </w:r>
          </w:p>
          <w:p w14:paraId="7C1E676A" w14:textId="77777777" w:rsidR="00A63BA7" w:rsidRPr="00AB0A1B" w:rsidRDefault="00A63BA7" w:rsidP="00712B4C">
            <w:pPr>
              <w:autoSpaceDE w:val="0"/>
              <w:autoSpaceDN w:val="0"/>
              <w:adjustRightInd w:val="0"/>
              <w:ind w:firstLine="720"/>
              <w:rPr>
                <w:sz w:val="24"/>
                <w:szCs w:val="24"/>
              </w:rPr>
            </w:pPr>
            <w:r w:rsidRPr="00AB0A1B">
              <w:rPr>
                <w:sz w:val="24"/>
                <w:szCs w:val="24"/>
              </w:rPr>
              <w:t>agreed.</w:t>
            </w:r>
          </w:p>
          <w:p w14:paraId="35725714" w14:textId="77777777" w:rsidR="00A63BA7" w:rsidRPr="00AB0A1B" w:rsidRDefault="00A63BA7" w:rsidP="00A63BA7">
            <w:pPr>
              <w:autoSpaceDE w:val="0"/>
              <w:autoSpaceDN w:val="0"/>
              <w:adjustRightInd w:val="0"/>
              <w:rPr>
                <w:sz w:val="24"/>
                <w:szCs w:val="24"/>
              </w:rPr>
            </w:pPr>
          </w:p>
          <w:p w14:paraId="7E83609F" w14:textId="77777777" w:rsidR="00A63BA7" w:rsidRDefault="00A63BA7" w:rsidP="00A63BA7">
            <w:pPr>
              <w:autoSpaceDE w:val="0"/>
              <w:autoSpaceDN w:val="0"/>
              <w:adjustRightInd w:val="0"/>
              <w:rPr>
                <w:sz w:val="24"/>
                <w:szCs w:val="24"/>
              </w:rPr>
            </w:pPr>
            <w:r w:rsidRPr="00AB0A1B">
              <w:rPr>
                <w:sz w:val="24"/>
                <w:szCs w:val="24"/>
              </w:rPr>
              <w:t>Consideration of individual results should be conducted as follows:</w:t>
            </w:r>
          </w:p>
          <w:p w14:paraId="111EA31C" w14:textId="77777777" w:rsidR="00712B4C" w:rsidRPr="00AB0A1B" w:rsidRDefault="00712B4C" w:rsidP="00A63BA7">
            <w:pPr>
              <w:autoSpaceDE w:val="0"/>
              <w:autoSpaceDN w:val="0"/>
              <w:adjustRightInd w:val="0"/>
              <w:rPr>
                <w:sz w:val="24"/>
                <w:szCs w:val="24"/>
              </w:rPr>
            </w:pPr>
          </w:p>
          <w:p w14:paraId="5F6419A6" w14:textId="77777777" w:rsidR="00A63BA7" w:rsidRPr="00AB0A1B" w:rsidRDefault="00712B4C" w:rsidP="00712B4C">
            <w:pPr>
              <w:numPr>
                <w:ilvl w:val="0"/>
                <w:numId w:val="8"/>
              </w:numPr>
              <w:autoSpaceDE w:val="0"/>
              <w:autoSpaceDN w:val="0"/>
              <w:adjustRightInd w:val="0"/>
              <w:ind w:left="720"/>
              <w:rPr>
                <w:sz w:val="24"/>
                <w:szCs w:val="24"/>
              </w:rPr>
            </w:pPr>
            <w:r>
              <w:rPr>
                <w:sz w:val="24"/>
                <w:szCs w:val="24"/>
              </w:rPr>
              <w:t>T</w:t>
            </w:r>
            <w:r w:rsidR="00A63BA7" w:rsidRPr="00AB0A1B">
              <w:rPr>
                <w:sz w:val="24"/>
                <w:szCs w:val="24"/>
              </w:rPr>
              <w:t>he grades of each student should be considered;</w:t>
            </w:r>
          </w:p>
          <w:p w14:paraId="1E38E327" w14:textId="77777777" w:rsidR="00A63BA7" w:rsidRPr="00AB0A1B" w:rsidRDefault="00712B4C" w:rsidP="00712B4C">
            <w:pPr>
              <w:numPr>
                <w:ilvl w:val="0"/>
                <w:numId w:val="8"/>
              </w:numPr>
              <w:autoSpaceDE w:val="0"/>
              <w:autoSpaceDN w:val="0"/>
              <w:adjustRightInd w:val="0"/>
              <w:ind w:left="720"/>
              <w:rPr>
                <w:sz w:val="24"/>
                <w:szCs w:val="24"/>
              </w:rPr>
            </w:pPr>
            <w:r>
              <w:rPr>
                <w:sz w:val="24"/>
                <w:szCs w:val="24"/>
              </w:rPr>
              <w:t>T</w:t>
            </w:r>
            <w:r w:rsidR="00A63BA7" w:rsidRPr="00AB0A1B">
              <w:rPr>
                <w:sz w:val="24"/>
                <w:szCs w:val="24"/>
              </w:rPr>
              <w:t>he consideration of extenuating circumstances should be conducted;</w:t>
            </w:r>
          </w:p>
          <w:p w14:paraId="076F0D96" w14:textId="77777777" w:rsidR="00A63BA7" w:rsidRPr="00AB0A1B" w:rsidRDefault="00712B4C" w:rsidP="00712B4C">
            <w:pPr>
              <w:numPr>
                <w:ilvl w:val="0"/>
                <w:numId w:val="8"/>
              </w:numPr>
              <w:autoSpaceDE w:val="0"/>
              <w:autoSpaceDN w:val="0"/>
              <w:adjustRightInd w:val="0"/>
              <w:ind w:left="720"/>
              <w:rPr>
                <w:sz w:val="24"/>
                <w:szCs w:val="24"/>
              </w:rPr>
            </w:pPr>
            <w:r>
              <w:rPr>
                <w:sz w:val="24"/>
                <w:szCs w:val="24"/>
              </w:rPr>
              <w:t>A</w:t>
            </w:r>
            <w:r w:rsidR="00A63BA7" w:rsidRPr="00AB0A1B">
              <w:rPr>
                <w:sz w:val="24"/>
                <w:szCs w:val="24"/>
              </w:rPr>
              <w:t>ny amendment to the grades will be agreed and recorded on the</w:t>
            </w:r>
          </w:p>
          <w:p w14:paraId="4A68F2BB" w14:textId="77777777" w:rsidR="00A63BA7" w:rsidRPr="00AB0A1B" w:rsidRDefault="00A63BA7" w:rsidP="00712B4C">
            <w:pPr>
              <w:autoSpaceDE w:val="0"/>
              <w:autoSpaceDN w:val="0"/>
              <w:adjustRightInd w:val="0"/>
              <w:ind w:firstLine="720"/>
              <w:rPr>
                <w:sz w:val="24"/>
                <w:szCs w:val="24"/>
              </w:rPr>
            </w:pPr>
            <w:r w:rsidRPr="00AB0A1B">
              <w:rPr>
                <w:sz w:val="24"/>
                <w:szCs w:val="24"/>
              </w:rPr>
              <w:t>grading sheet/grid;</w:t>
            </w:r>
          </w:p>
          <w:p w14:paraId="3734D576" w14:textId="77777777" w:rsidR="00A63BA7" w:rsidRPr="00AB0A1B" w:rsidRDefault="00712B4C" w:rsidP="00712B4C">
            <w:pPr>
              <w:numPr>
                <w:ilvl w:val="0"/>
                <w:numId w:val="8"/>
              </w:numPr>
              <w:autoSpaceDE w:val="0"/>
              <w:autoSpaceDN w:val="0"/>
              <w:adjustRightInd w:val="0"/>
              <w:ind w:left="720"/>
              <w:rPr>
                <w:sz w:val="24"/>
                <w:szCs w:val="24"/>
              </w:rPr>
            </w:pPr>
            <w:r>
              <w:rPr>
                <w:sz w:val="24"/>
                <w:szCs w:val="24"/>
              </w:rPr>
              <w:t>T</w:t>
            </w:r>
            <w:r w:rsidR="00A63BA7" w:rsidRPr="00AB0A1B">
              <w:rPr>
                <w:sz w:val="24"/>
                <w:szCs w:val="24"/>
              </w:rPr>
              <w:t xml:space="preserve">he overall unit results for the student will be agreed; </w:t>
            </w:r>
          </w:p>
          <w:p w14:paraId="00EDEE6E" w14:textId="77777777" w:rsidR="00A63BA7" w:rsidRPr="00A63BA7" w:rsidRDefault="00A63BA7" w:rsidP="00712B4C">
            <w:pPr>
              <w:numPr>
                <w:ilvl w:val="0"/>
                <w:numId w:val="8"/>
              </w:numPr>
              <w:autoSpaceDE w:val="0"/>
              <w:autoSpaceDN w:val="0"/>
              <w:adjustRightInd w:val="0"/>
              <w:ind w:left="720"/>
              <w:rPr>
                <w:sz w:val="24"/>
                <w:szCs w:val="24"/>
              </w:rPr>
            </w:pPr>
            <w:r w:rsidRPr="00AB0A1B">
              <w:rPr>
                <w:sz w:val="24"/>
                <w:szCs w:val="24"/>
              </w:rPr>
              <w:t>The decisions of the Assessment Board will be formally recorded in the</w:t>
            </w:r>
            <w:r>
              <w:rPr>
                <w:sz w:val="24"/>
                <w:szCs w:val="24"/>
              </w:rPr>
              <w:t xml:space="preserve">  </w:t>
            </w:r>
            <w:r w:rsidRPr="00A63BA7">
              <w:rPr>
                <w:sz w:val="24"/>
                <w:szCs w:val="24"/>
              </w:rPr>
              <w:t>minutes.</w:t>
            </w:r>
          </w:p>
          <w:p w14:paraId="42E0AE47" w14:textId="77777777" w:rsidR="00A63BA7" w:rsidRPr="00AB0A1B" w:rsidRDefault="00A63BA7" w:rsidP="00A63BA7">
            <w:pPr>
              <w:autoSpaceDE w:val="0"/>
              <w:autoSpaceDN w:val="0"/>
              <w:adjustRightInd w:val="0"/>
              <w:rPr>
                <w:sz w:val="24"/>
                <w:szCs w:val="24"/>
              </w:rPr>
            </w:pPr>
          </w:p>
          <w:p w14:paraId="408ABC1A" w14:textId="77777777" w:rsidR="00A63BA7" w:rsidRPr="00AB0A1B" w:rsidRDefault="00A63BA7" w:rsidP="00A63BA7">
            <w:pPr>
              <w:autoSpaceDE w:val="0"/>
              <w:autoSpaceDN w:val="0"/>
              <w:adjustRightInd w:val="0"/>
              <w:rPr>
                <w:sz w:val="24"/>
                <w:szCs w:val="24"/>
              </w:rPr>
            </w:pPr>
            <w:r w:rsidRPr="00AB0A1B">
              <w:rPr>
                <w:sz w:val="24"/>
                <w:szCs w:val="24"/>
              </w:rPr>
              <w:t>Tutors should take care not to disclose the confidential proceedings of</w:t>
            </w:r>
          </w:p>
          <w:p w14:paraId="255EFC60" w14:textId="77777777" w:rsidR="00A63BA7" w:rsidRPr="00AB0A1B" w:rsidRDefault="00A63BA7" w:rsidP="00A63BA7">
            <w:pPr>
              <w:autoSpaceDE w:val="0"/>
              <w:autoSpaceDN w:val="0"/>
              <w:adjustRightInd w:val="0"/>
              <w:rPr>
                <w:sz w:val="24"/>
                <w:szCs w:val="24"/>
              </w:rPr>
            </w:pPr>
            <w:r w:rsidRPr="00AB0A1B">
              <w:rPr>
                <w:sz w:val="24"/>
                <w:szCs w:val="24"/>
              </w:rPr>
              <w:t xml:space="preserve">the Assessment Board and should guide </w:t>
            </w:r>
            <w:r w:rsidR="00CD5C16">
              <w:rPr>
                <w:sz w:val="24"/>
                <w:szCs w:val="24"/>
              </w:rPr>
              <w:t>individual</w:t>
            </w:r>
            <w:r w:rsidRPr="00AB0A1B">
              <w:rPr>
                <w:sz w:val="24"/>
                <w:szCs w:val="24"/>
              </w:rPr>
              <w:t xml:space="preserve"> student</w:t>
            </w:r>
            <w:r w:rsidR="00CD5C16">
              <w:rPr>
                <w:sz w:val="24"/>
                <w:szCs w:val="24"/>
              </w:rPr>
              <w:t>s</w:t>
            </w:r>
            <w:r w:rsidRPr="00AB0A1B">
              <w:rPr>
                <w:sz w:val="24"/>
                <w:szCs w:val="24"/>
              </w:rPr>
              <w:t xml:space="preserve"> on what they now</w:t>
            </w:r>
          </w:p>
          <w:p w14:paraId="4804BAED" w14:textId="77777777" w:rsidR="00A63BA7" w:rsidRPr="00A63BA7" w:rsidRDefault="00A63BA7" w:rsidP="00A63BA7">
            <w:pPr>
              <w:autoSpaceDE w:val="0"/>
              <w:autoSpaceDN w:val="0"/>
              <w:adjustRightInd w:val="0"/>
              <w:rPr>
                <w:sz w:val="24"/>
                <w:szCs w:val="24"/>
              </w:rPr>
            </w:pPr>
            <w:r>
              <w:rPr>
                <w:sz w:val="24"/>
                <w:szCs w:val="24"/>
              </w:rPr>
              <w:t>have to do.</w:t>
            </w:r>
          </w:p>
          <w:p w14:paraId="7883FDF2" w14:textId="77777777" w:rsidR="00903BBC" w:rsidRPr="00AB0A1B" w:rsidRDefault="00903BBC" w:rsidP="00903BBC">
            <w:pPr>
              <w:autoSpaceDE w:val="0"/>
              <w:autoSpaceDN w:val="0"/>
              <w:adjustRightInd w:val="0"/>
            </w:pPr>
            <w:r w:rsidRPr="00AB0A1B">
              <w:rPr>
                <w:sz w:val="24"/>
                <w:szCs w:val="24"/>
              </w:rPr>
              <w:t xml:space="preserve"> </w:t>
            </w:r>
          </w:p>
        </w:tc>
      </w:tr>
      <w:tr w:rsidR="00903BBC" w14:paraId="2D1AEFCB" w14:textId="77777777" w:rsidTr="004C192A">
        <w:trPr>
          <w:trHeight w:val="233"/>
        </w:trPr>
        <w:tc>
          <w:tcPr>
            <w:tcW w:w="521" w:type="dxa"/>
            <w:vMerge/>
          </w:tcPr>
          <w:p w14:paraId="1F0F79F1" w14:textId="77777777" w:rsidR="00903BBC" w:rsidRDefault="00903BBC"/>
        </w:tc>
        <w:tc>
          <w:tcPr>
            <w:tcW w:w="644" w:type="dxa"/>
          </w:tcPr>
          <w:p w14:paraId="2FC5E127" w14:textId="77777777" w:rsidR="00903BBC" w:rsidRPr="00AB0A1B" w:rsidRDefault="00903BBC" w:rsidP="00903BBC">
            <w:r w:rsidRPr="00AB0A1B">
              <w:t>11.3</w:t>
            </w:r>
          </w:p>
        </w:tc>
        <w:tc>
          <w:tcPr>
            <w:tcW w:w="7862" w:type="dxa"/>
            <w:gridSpan w:val="2"/>
          </w:tcPr>
          <w:p w14:paraId="555B5D66" w14:textId="35786124" w:rsidR="00903BBC" w:rsidRPr="00AB0A1B" w:rsidRDefault="00903BBC" w:rsidP="00A63BA7">
            <w:pPr>
              <w:pStyle w:val="Heading2"/>
              <w:spacing w:before="0"/>
              <w:outlineLvl w:val="1"/>
            </w:pPr>
            <w:bookmarkStart w:id="25" w:name="_Toc440442739"/>
            <w:r w:rsidRPr="00AB0A1B">
              <w:t>Disclosure of Results</w:t>
            </w:r>
            <w:bookmarkEnd w:id="25"/>
          </w:p>
        </w:tc>
      </w:tr>
      <w:tr w:rsidR="00903BBC" w14:paraId="0806A6CB" w14:textId="77777777" w:rsidTr="004C192A">
        <w:trPr>
          <w:trHeight w:val="882"/>
        </w:trPr>
        <w:tc>
          <w:tcPr>
            <w:tcW w:w="521" w:type="dxa"/>
            <w:vMerge/>
          </w:tcPr>
          <w:p w14:paraId="7D6DFB23" w14:textId="77777777" w:rsidR="00903BBC" w:rsidRDefault="00903BBC"/>
        </w:tc>
        <w:tc>
          <w:tcPr>
            <w:tcW w:w="644" w:type="dxa"/>
          </w:tcPr>
          <w:p w14:paraId="7F4856FC" w14:textId="77777777" w:rsidR="00903BBC" w:rsidRPr="00AB0A1B" w:rsidRDefault="00903BBC" w:rsidP="00903BBC">
            <w:pPr>
              <w:pStyle w:val="Heading2"/>
              <w:outlineLvl w:val="1"/>
            </w:pPr>
          </w:p>
        </w:tc>
        <w:tc>
          <w:tcPr>
            <w:tcW w:w="7862" w:type="dxa"/>
            <w:gridSpan w:val="2"/>
          </w:tcPr>
          <w:p w14:paraId="153E09B2" w14:textId="77777777" w:rsidR="00903BBC" w:rsidRPr="00AB0A1B" w:rsidRDefault="00903BBC" w:rsidP="00931833">
            <w:pPr>
              <w:autoSpaceDE w:val="0"/>
              <w:autoSpaceDN w:val="0"/>
              <w:adjustRightInd w:val="0"/>
              <w:rPr>
                <w:sz w:val="24"/>
                <w:szCs w:val="24"/>
              </w:rPr>
            </w:pPr>
            <w:r w:rsidRPr="00AB0A1B">
              <w:rPr>
                <w:sz w:val="24"/>
                <w:szCs w:val="24"/>
              </w:rPr>
              <w:t>Only designated staff are authorised to disclose results in accordance with College</w:t>
            </w:r>
            <w:r w:rsidR="00931833">
              <w:rPr>
                <w:sz w:val="24"/>
                <w:szCs w:val="24"/>
              </w:rPr>
              <w:t xml:space="preserve"> practice</w:t>
            </w:r>
            <w:r w:rsidR="00A63BA7">
              <w:rPr>
                <w:sz w:val="24"/>
                <w:szCs w:val="24"/>
              </w:rPr>
              <w:t>.</w:t>
            </w:r>
            <w:r w:rsidRPr="00AB0A1B">
              <w:rPr>
                <w:sz w:val="24"/>
                <w:szCs w:val="24"/>
              </w:rPr>
              <w:t xml:space="preserve">   </w:t>
            </w:r>
          </w:p>
        </w:tc>
      </w:tr>
      <w:tr w:rsidR="00A64C16" w14:paraId="448D79C4" w14:textId="77777777" w:rsidTr="004C192A">
        <w:trPr>
          <w:gridAfter w:val="1"/>
          <w:wAfter w:w="9" w:type="dxa"/>
        </w:trPr>
        <w:tc>
          <w:tcPr>
            <w:tcW w:w="521" w:type="dxa"/>
          </w:tcPr>
          <w:p w14:paraId="023964E9" w14:textId="77777777" w:rsidR="00A64C16" w:rsidRDefault="00A64C16">
            <w:r>
              <w:t>12.</w:t>
            </w:r>
          </w:p>
        </w:tc>
        <w:tc>
          <w:tcPr>
            <w:tcW w:w="8497" w:type="dxa"/>
            <w:gridSpan w:val="2"/>
          </w:tcPr>
          <w:p w14:paraId="6EE0E3BB" w14:textId="5BF218BE" w:rsidR="00A64C16" w:rsidRPr="00AB0A1B" w:rsidRDefault="00A94B01" w:rsidP="00710D44">
            <w:pPr>
              <w:pStyle w:val="Heading1"/>
              <w:outlineLvl w:val="0"/>
            </w:pPr>
            <w:bookmarkStart w:id="26" w:name="_Toc440442740"/>
            <w:r w:rsidRPr="00AB0A1B">
              <w:t>Extenuating Circumstances</w:t>
            </w:r>
            <w:bookmarkEnd w:id="26"/>
          </w:p>
        </w:tc>
      </w:tr>
      <w:tr w:rsidR="00A64C16" w14:paraId="509B471F" w14:textId="77777777" w:rsidTr="004C192A">
        <w:trPr>
          <w:gridAfter w:val="1"/>
          <w:wAfter w:w="9" w:type="dxa"/>
        </w:trPr>
        <w:tc>
          <w:tcPr>
            <w:tcW w:w="521" w:type="dxa"/>
          </w:tcPr>
          <w:p w14:paraId="0285364A" w14:textId="77777777" w:rsidR="00A64C16" w:rsidRDefault="00A64C16"/>
        </w:tc>
        <w:tc>
          <w:tcPr>
            <w:tcW w:w="8497" w:type="dxa"/>
            <w:gridSpan w:val="2"/>
          </w:tcPr>
          <w:p w14:paraId="4B805F71" w14:textId="77777777" w:rsidR="00CC0976" w:rsidRPr="00AB0A1B" w:rsidRDefault="00CC0976" w:rsidP="00CC0976">
            <w:pPr>
              <w:autoSpaceDE w:val="0"/>
              <w:autoSpaceDN w:val="0"/>
              <w:adjustRightInd w:val="0"/>
              <w:rPr>
                <w:sz w:val="24"/>
                <w:szCs w:val="24"/>
              </w:rPr>
            </w:pPr>
            <w:r w:rsidRPr="00AB0A1B">
              <w:rPr>
                <w:bCs/>
                <w:sz w:val="24"/>
                <w:szCs w:val="24"/>
              </w:rPr>
              <w:t>A student may submit a request for consideration of extenuating circumstances in respect of their summative assessment.</w:t>
            </w:r>
            <w:r w:rsidRPr="00AB0A1B">
              <w:rPr>
                <w:b/>
                <w:bCs/>
                <w:sz w:val="24"/>
                <w:szCs w:val="24"/>
              </w:rPr>
              <w:t xml:space="preserve"> </w:t>
            </w:r>
            <w:r w:rsidRPr="00AB0A1B">
              <w:rPr>
                <w:sz w:val="24"/>
                <w:szCs w:val="24"/>
              </w:rPr>
              <w:t xml:space="preserve">Refer to the Extenuating Policy and </w:t>
            </w:r>
            <w:r w:rsidR="00E32CFA">
              <w:rPr>
                <w:sz w:val="24"/>
                <w:szCs w:val="24"/>
              </w:rPr>
              <w:t>F</w:t>
            </w:r>
            <w:r w:rsidRPr="00AB0A1B">
              <w:rPr>
                <w:sz w:val="24"/>
                <w:szCs w:val="24"/>
              </w:rPr>
              <w:t xml:space="preserve">orm on website </w:t>
            </w:r>
            <w:hyperlink r:id="rId9" w:history="1">
              <w:r w:rsidRPr="00AB0A1B">
                <w:rPr>
                  <w:rStyle w:val="Hyperlink"/>
                  <w:sz w:val="24"/>
                  <w:szCs w:val="24"/>
                </w:rPr>
                <w:t>http://www.southessex.ac.uk/higher-education/higher-education-policies</w:t>
              </w:r>
            </w:hyperlink>
          </w:p>
          <w:p w14:paraId="16DA527D" w14:textId="77777777" w:rsidR="00A64C16" w:rsidRPr="00AB0A1B" w:rsidRDefault="00A64C16"/>
        </w:tc>
      </w:tr>
      <w:tr w:rsidR="00A64C16" w14:paraId="276336A3" w14:textId="77777777" w:rsidTr="004C192A">
        <w:trPr>
          <w:gridAfter w:val="1"/>
          <w:wAfter w:w="9" w:type="dxa"/>
        </w:trPr>
        <w:tc>
          <w:tcPr>
            <w:tcW w:w="521" w:type="dxa"/>
          </w:tcPr>
          <w:p w14:paraId="70045590" w14:textId="06E7C7FF" w:rsidR="00A64C16" w:rsidRDefault="00A64C16">
            <w:r>
              <w:t>13.</w:t>
            </w:r>
          </w:p>
        </w:tc>
        <w:tc>
          <w:tcPr>
            <w:tcW w:w="8497" w:type="dxa"/>
            <w:gridSpan w:val="2"/>
          </w:tcPr>
          <w:p w14:paraId="71536554" w14:textId="0C1585FB" w:rsidR="00A64C16" w:rsidRPr="00AB0A1B" w:rsidRDefault="00A94B01" w:rsidP="00710D44">
            <w:pPr>
              <w:pStyle w:val="Heading1"/>
              <w:outlineLvl w:val="0"/>
            </w:pPr>
            <w:bookmarkStart w:id="27" w:name="_Toc440442741"/>
            <w:r w:rsidRPr="00AB0A1B">
              <w:t>Academic offences</w:t>
            </w:r>
            <w:bookmarkEnd w:id="27"/>
          </w:p>
        </w:tc>
      </w:tr>
      <w:tr w:rsidR="00A64C16" w14:paraId="69496410" w14:textId="77777777" w:rsidTr="004C192A">
        <w:trPr>
          <w:gridAfter w:val="1"/>
          <w:wAfter w:w="9" w:type="dxa"/>
        </w:trPr>
        <w:tc>
          <w:tcPr>
            <w:tcW w:w="521" w:type="dxa"/>
          </w:tcPr>
          <w:p w14:paraId="2433CD14" w14:textId="77777777" w:rsidR="00A64C16" w:rsidRDefault="00A64C16"/>
        </w:tc>
        <w:tc>
          <w:tcPr>
            <w:tcW w:w="8497" w:type="dxa"/>
            <w:gridSpan w:val="2"/>
          </w:tcPr>
          <w:p w14:paraId="724F4524" w14:textId="77777777" w:rsidR="00CC0976" w:rsidRPr="00AB0A1B" w:rsidRDefault="00E32CFA" w:rsidP="00CC0976">
            <w:pPr>
              <w:rPr>
                <w:sz w:val="24"/>
                <w:szCs w:val="24"/>
              </w:rPr>
            </w:pPr>
            <w:bookmarkStart w:id="28" w:name="_Toc438546741"/>
            <w:bookmarkStart w:id="29" w:name="_Toc438546830"/>
            <w:r>
              <w:rPr>
                <w:sz w:val="24"/>
                <w:szCs w:val="24"/>
              </w:rPr>
              <w:t>Refer to the Academic Offences P</w:t>
            </w:r>
            <w:r w:rsidR="00CC0976" w:rsidRPr="00AB0A1B">
              <w:rPr>
                <w:sz w:val="24"/>
                <w:szCs w:val="24"/>
              </w:rPr>
              <w:t xml:space="preserve">olicy </w:t>
            </w:r>
            <w:hyperlink r:id="rId10" w:history="1">
              <w:r w:rsidR="00CC0976" w:rsidRPr="00AB0A1B">
                <w:rPr>
                  <w:rStyle w:val="Hyperlink"/>
                  <w:sz w:val="24"/>
                  <w:szCs w:val="24"/>
                </w:rPr>
                <w:t>http://www.southessex.ac.uk/higher-education/higher-education-policies</w:t>
              </w:r>
              <w:bookmarkEnd w:id="28"/>
              <w:bookmarkEnd w:id="29"/>
            </w:hyperlink>
          </w:p>
          <w:p w14:paraId="661C5DDA" w14:textId="77777777" w:rsidR="00A64C16" w:rsidRPr="00AB0A1B" w:rsidRDefault="00A64C16"/>
        </w:tc>
      </w:tr>
      <w:tr w:rsidR="00A64C16" w14:paraId="30A1E564" w14:textId="77777777" w:rsidTr="004C192A">
        <w:trPr>
          <w:gridAfter w:val="1"/>
          <w:wAfter w:w="9" w:type="dxa"/>
        </w:trPr>
        <w:tc>
          <w:tcPr>
            <w:tcW w:w="521" w:type="dxa"/>
          </w:tcPr>
          <w:p w14:paraId="3F909AEB" w14:textId="77777777" w:rsidR="00A64C16" w:rsidRDefault="00A64C16">
            <w:r>
              <w:t>14.</w:t>
            </w:r>
          </w:p>
        </w:tc>
        <w:tc>
          <w:tcPr>
            <w:tcW w:w="8497" w:type="dxa"/>
            <w:gridSpan w:val="2"/>
          </w:tcPr>
          <w:p w14:paraId="299412CC" w14:textId="77777777" w:rsidR="00A64C16" w:rsidRPr="00AB0A1B" w:rsidRDefault="00A94B01" w:rsidP="00710D44">
            <w:pPr>
              <w:pStyle w:val="Heading1"/>
              <w:outlineLvl w:val="0"/>
            </w:pPr>
            <w:bookmarkStart w:id="30" w:name="_Toc440442742"/>
            <w:r w:rsidRPr="00AB0A1B">
              <w:t>Right of Appeal</w:t>
            </w:r>
            <w:bookmarkEnd w:id="30"/>
          </w:p>
        </w:tc>
      </w:tr>
      <w:tr w:rsidR="00A64C16" w14:paraId="1674C55C" w14:textId="77777777" w:rsidTr="004C192A">
        <w:trPr>
          <w:gridAfter w:val="1"/>
          <w:wAfter w:w="9" w:type="dxa"/>
        </w:trPr>
        <w:tc>
          <w:tcPr>
            <w:tcW w:w="521" w:type="dxa"/>
          </w:tcPr>
          <w:p w14:paraId="4DE9F988" w14:textId="77777777" w:rsidR="00A64C16" w:rsidRDefault="00A64C16"/>
        </w:tc>
        <w:tc>
          <w:tcPr>
            <w:tcW w:w="8497" w:type="dxa"/>
            <w:gridSpan w:val="2"/>
          </w:tcPr>
          <w:p w14:paraId="2416A5D5" w14:textId="77777777" w:rsidR="00CC0976" w:rsidRPr="00E32CFA" w:rsidRDefault="00CC0976" w:rsidP="00CC0976">
            <w:pPr>
              <w:rPr>
                <w:sz w:val="24"/>
                <w:szCs w:val="24"/>
              </w:rPr>
            </w:pPr>
            <w:bookmarkStart w:id="31" w:name="_Toc438546743"/>
            <w:bookmarkStart w:id="32" w:name="_Toc438546832"/>
            <w:r w:rsidRPr="00E32CFA">
              <w:rPr>
                <w:sz w:val="24"/>
                <w:szCs w:val="24"/>
              </w:rPr>
              <w:t>There is a single appeal process for students who wish to appeal against an outcome arising from:</w:t>
            </w:r>
            <w:bookmarkEnd w:id="31"/>
            <w:bookmarkEnd w:id="32"/>
          </w:p>
          <w:p w14:paraId="13E4A48A" w14:textId="77777777" w:rsidR="00CC0976" w:rsidRPr="00E32CFA" w:rsidRDefault="00CC0976" w:rsidP="00CC0976">
            <w:pPr>
              <w:ind w:left="360"/>
              <w:rPr>
                <w:sz w:val="24"/>
                <w:szCs w:val="24"/>
              </w:rPr>
            </w:pPr>
          </w:p>
          <w:p w14:paraId="4588F289" w14:textId="77777777" w:rsidR="00CC0976" w:rsidRPr="00E32CFA" w:rsidRDefault="00CC0976" w:rsidP="00CC0976">
            <w:pPr>
              <w:rPr>
                <w:sz w:val="24"/>
                <w:szCs w:val="24"/>
              </w:rPr>
            </w:pPr>
            <w:bookmarkStart w:id="33" w:name="_Toc438546744"/>
            <w:bookmarkStart w:id="34" w:name="_Toc438546833"/>
            <w:r w:rsidRPr="00E32CFA">
              <w:rPr>
                <w:sz w:val="24"/>
                <w:szCs w:val="24"/>
              </w:rPr>
              <w:t>Decisions relating to academic offences;</w:t>
            </w:r>
            <w:bookmarkEnd w:id="33"/>
            <w:bookmarkEnd w:id="34"/>
          </w:p>
          <w:p w14:paraId="31CD58A6" w14:textId="77777777" w:rsidR="00CC0976" w:rsidRPr="00E32CFA" w:rsidRDefault="00CC0976" w:rsidP="00CC0976">
            <w:pPr>
              <w:rPr>
                <w:sz w:val="24"/>
                <w:szCs w:val="24"/>
              </w:rPr>
            </w:pPr>
            <w:bookmarkStart w:id="35" w:name="_Toc438546745"/>
            <w:bookmarkStart w:id="36" w:name="_Toc438546834"/>
            <w:r w:rsidRPr="00E32CFA">
              <w:rPr>
                <w:sz w:val="24"/>
                <w:szCs w:val="24"/>
              </w:rPr>
              <w:t>Decisions of Assessment Boards.</w:t>
            </w:r>
            <w:bookmarkEnd w:id="35"/>
            <w:bookmarkEnd w:id="36"/>
          </w:p>
          <w:p w14:paraId="2DCE9AD8" w14:textId="77777777" w:rsidR="00CC0976" w:rsidRPr="00E32CFA" w:rsidRDefault="00CC0976" w:rsidP="00CC0976">
            <w:pPr>
              <w:rPr>
                <w:sz w:val="24"/>
                <w:szCs w:val="24"/>
              </w:rPr>
            </w:pPr>
            <w:bookmarkStart w:id="37" w:name="_Toc438546746"/>
            <w:bookmarkStart w:id="38" w:name="_Toc438546835"/>
          </w:p>
          <w:p w14:paraId="6A170F55" w14:textId="77777777" w:rsidR="00CC0976" w:rsidRPr="00E32CFA" w:rsidRDefault="00CC0976" w:rsidP="00CC0976">
            <w:pPr>
              <w:rPr>
                <w:sz w:val="24"/>
                <w:szCs w:val="24"/>
              </w:rPr>
            </w:pPr>
            <w:r w:rsidRPr="00E32CFA">
              <w:rPr>
                <w:sz w:val="24"/>
                <w:szCs w:val="24"/>
              </w:rPr>
              <w:t>Refer to the Appeal Policy and form on website</w:t>
            </w:r>
            <w:bookmarkEnd w:id="37"/>
            <w:bookmarkEnd w:id="38"/>
            <w:r w:rsidR="00450C71">
              <w:rPr>
                <w:sz w:val="24"/>
                <w:szCs w:val="24"/>
              </w:rPr>
              <w:t>:</w:t>
            </w:r>
          </w:p>
          <w:p w14:paraId="11B418EE" w14:textId="77777777" w:rsidR="00CC0976" w:rsidRPr="00AB0A1B" w:rsidRDefault="00985C13" w:rsidP="00CC0976">
            <w:hyperlink r:id="rId11" w:history="1">
              <w:bookmarkStart w:id="39" w:name="_Toc438546747"/>
              <w:bookmarkStart w:id="40" w:name="_Toc438546836"/>
              <w:r w:rsidR="00CC0976" w:rsidRPr="00E32CFA">
                <w:rPr>
                  <w:rStyle w:val="Hyperlink"/>
                  <w:sz w:val="24"/>
                  <w:szCs w:val="24"/>
                </w:rPr>
                <w:t>http://www.southessex.ac.uk/higher-education/higher-education-policies</w:t>
              </w:r>
              <w:bookmarkEnd w:id="39"/>
              <w:bookmarkEnd w:id="40"/>
            </w:hyperlink>
          </w:p>
          <w:p w14:paraId="717AFE25" w14:textId="3F363F57" w:rsidR="00A64C16" w:rsidRPr="00AB0A1B" w:rsidRDefault="00A64C16" w:rsidP="00CC0976"/>
        </w:tc>
      </w:tr>
    </w:tbl>
    <w:p w14:paraId="2AA854EC" w14:textId="1B10DE53" w:rsidR="00300850" w:rsidRPr="002B0C82" w:rsidRDefault="00300850" w:rsidP="002B0C82">
      <w:pPr>
        <w:spacing w:after="0"/>
        <w:rPr>
          <w:sz w:val="24"/>
          <w:szCs w:val="24"/>
        </w:rPr>
      </w:pPr>
    </w:p>
    <w:sectPr w:rsidR="00300850" w:rsidRPr="002B0C82" w:rsidSect="00A63BA7">
      <w:headerReference w:type="default" r:id="rId12"/>
      <w:footerReference w:type="even" r:id="rId13"/>
      <w:footerReference w:type="default" r:id="rId14"/>
      <w:headerReference w:type="first" r:id="rId15"/>
      <w:pgSz w:w="11906" w:h="16838"/>
      <w:pgMar w:top="12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43DB" w14:textId="77777777" w:rsidR="00300850" w:rsidRDefault="00300850" w:rsidP="002D7498">
      <w:pPr>
        <w:spacing w:after="0" w:line="240" w:lineRule="auto"/>
      </w:pPr>
      <w:r>
        <w:separator/>
      </w:r>
    </w:p>
  </w:endnote>
  <w:endnote w:type="continuationSeparator" w:id="0">
    <w:p w14:paraId="789465DA" w14:textId="77777777" w:rsidR="00300850" w:rsidRDefault="00300850" w:rsidP="002D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D835" w14:textId="77777777" w:rsidR="00300850" w:rsidRDefault="00300850" w:rsidP="00FC7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C4891" w14:textId="77777777" w:rsidR="00300850" w:rsidRDefault="00300850" w:rsidP="00FC7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24BC" w14:textId="0AFCE32C" w:rsidR="00300850" w:rsidRDefault="00300850" w:rsidP="00FC7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5C13">
      <w:rPr>
        <w:rStyle w:val="PageNumber"/>
        <w:noProof/>
      </w:rPr>
      <w:t>8</w:t>
    </w:r>
    <w:r>
      <w:rPr>
        <w:rStyle w:val="PageNumber"/>
      </w:rPr>
      <w:fldChar w:fldCharType="end"/>
    </w:r>
  </w:p>
  <w:p w14:paraId="19F029E0" w14:textId="77777777" w:rsidR="00300850" w:rsidRDefault="00300850" w:rsidP="00FC79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04475" w14:textId="77777777" w:rsidR="00300850" w:rsidRDefault="00300850" w:rsidP="002D7498">
      <w:pPr>
        <w:spacing w:after="0" w:line="240" w:lineRule="auto"/>
      </w:pPr>
      <w:r>
        <w:separator/>
      </w:r>
    </w:p>
  </w:footnote>
  <w:footnote w:type="continuationSeparator" w:id="0">
    <w:p w14:paraId="79BB3178" w14:textId="77777777" w:rsidR="00300850" w:rsidRDefault="00300850" w:rsidP="002D7498">
      <w:pPr>
        <w:spacing w:after="0" w:line="240" w:lineRule="auto"/>
      </w:pPr>
      <w:r>
        <w:continuationSeparator/>
      </w:r>
    </w:p>
  </w:footnote>
  <w:footnote w:id="1">
    <w:p w14:paraId="18E1EE8E" w14:textId="4927B37F" w:rsidR="00300850" w:rsidRPr="002B0C82" w:rsidRDefault="00300850">
      <w:pPr>
        <w:pStyle w:val="FootnoteText"/>
        <w:rPr>
          <w:sz w:val="22"/>
          <w:szCs w:val="22"/>
        </w:rPr>
      </w:pPr>
      <w:r>
        <w:rPr>
          <w:rStyle w:val="FootnoteReference"/>
        </w:rPr>
        <w:footnoteRef/>
      </w:r>
      <w:r>
        <w:t xml:space="preserve"> </w:t>
      </w:r>
      <w:r w:rsidRPr="002B0C82">
        <w:rPr>
          <w:sz w:val="22"/>
          <w:szCs w:val="22"/>
        </w:rPr>
        <w:t>The student version of the programme specification is a trimmed down, user-friendly version of the one issued to staff, including an outline of BTEC assessment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7" w:type="dxa"/>
      <w:tblLayout w:type="fixed"/>
      <w:tblLook w:val="0000" w:firstRow="0" w:lastRow="0" w:firstColumn="0" w:lastColumn="0" w:noHBand="0" w:noVBand="0"/>
    </w:tblPr>
    <w:tblGrid>
      <w:gridCol w:w="4967"/>
    </w:tblGrid>
    <w:tr w:rsidR="00300850" w14:paraId="3EB30D7B" w14:textId="77777777" w:rsidTr="002D7498">
      <w:trPr>
        <w:cantSplit/>
        <w:trHeight w:val="755"/>
      </w:trPr>
      <w:tc>
        <w:tcPr>
          <w:tcW w:w="4967" w:type="dxa"/>
        </w:tcPr>
        <w:p w14:paraId="560FFEE9" w14:textId="77777777" w:rsidR="00300850" w:rsidRDefault="00300850">
          <w:pPr>
            <w:jc w:val="both"/>
            <w:rPr>
              <w:b/>
            </w:rPr>
          </w:pPr>
        </w:p>
      </w:tc>
    </w:tr>
  </w:tbl>
  <w:p w14:paraId="7619038B" w14:textId="77777777" w:rsidR="00300850" w:rsidRDefault="0030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C665" w14:textId="77777777" w:rsidR="00300850" w:rsidRDefault="00300850">
    <w:pPr>
      <w:pStyle w:val="Header"/>
      <w:jc w:val="right"/>
    </w:pPr>
    <w:r>
      <w:fldChar w:fldCharType="begin"/>
    </w:r>
    <w:r>
      <w:instrText xml:space="preserve"> PAGE   \* MERGEFORMAT </w:instrText>
    </w:r>
    <w:r>
      <w:fldChar w:fldCharType="separate"/>
    </w:r>
    <w:r>
      <w:rPr>
        <w:noProof/>
      </w:rPr>
      <w:t>1</w:t>
    </w:r>
    <w:r>
      <w:fldChar w:fldCharType="end"/>
    </w:r>
  </w:p>
  <w:p w14:paraId="4FBBE0DD" w14:textId="77777777" w:rsidR="00300850" w:rsidRDefault="0030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DD0"/>
    <w:multiLevelType w:val="hybridMultilevel"/>
    <w:tmpl w:val="49409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FC4D50"/>
    <w:multiLevelType w:val="hybridMultilevel"/>
    <w:tmpl w:val="8C4E05AE"/>
    <w:lvl w:ilvl="0" w:tplc="391EA07A">
      <w:start w:val="1"/>
      <w:numFmt w:val="bullet"/>
      <w:lvlText w:val=""/>
      <w:lvlJc w:val="left"/>
      <w:pPr>
        <w:tabs>
          <w:tab w:val="num" w:pos="2444"/>
        </w:tabs>
        <w:ind w:left="2444" w:hanging="38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92C7F95"/>
    <w:multiLevelType w:val="hybridMultilevel"/>
    <w:tmpl w:val="A9CEE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0739"/>
    <w:multiLevelType w:val="hybridMultilevel"/>
    <w:tmpl w:val="9F10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E93154"/>
    <w:multiLevelType w:val="hybridMultilevel"/>
    <w:tmpl w:val="66A43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93CB7"/>
    <w:multiLevelType w:val="hybridMultilevel"/>
    <w:tmpl w:val="A37C6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BF419F"/>
    <w:multiLevelType w:val="hybridMultilevel"/>
    <w:tmpl w:val="82F6964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52722B13"/>
    <w:multiLevelType w:val="hybridMultilevel"/>
    <w:tmpl w:val="7C00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5F3B93"/>
    <w:multiLevelType w:val="hybridMultilevel"/>
    <w:tmpl w:val="926A84E2"/>
    <w:lvl w:ilvl="0" w:tplc="72D25554">
      <w:start w:val="1"/>
      <w:numFmt w:val="bullet"/>
      <w:lvlText w:val=""/>
      <w:lvlJc w:val="left"/>
      <w:pPr>
        <w:ind w:left="1140" w:hanging="360"/>
      </w:pPr>
      <w:rPr>
        <w:rFonts w:ascii="Symbol" w:hAnsi="Symbol" w:hint="default"/>
        <w:color w:val="auto"/>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6F7B13EF"/>
    <w:multiLevelType w:val="hybridMultilevel"/>
    <w:tmpl w:val="A23EBE0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abstractNumId w:val="1"/>
  </w:num>
  <w:num w:numId="2">
    <w:abstractNumId w:val="4"/>
  </w:num>
  <w:num w:numId="3">
    <w:abstractNumId w:val="8"/>
  </w:num>
  <w:num w:numId="4">
    <w:abstractNumId w:val="7"/>
  </w:num>
  <w:num w:numId="5">
    <w:abstractNumId w:val="9"/>
  </w:num>
  <w:num w:numId="6">
    <w:abstractNumId w:val="6"/>
  </w:num>
  <w:num w:numId="7">
    <w:abstractNumId w:val="3"/>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6"/>
    <w:rsid w:val="00004E14"/>
    <w:rsid w:val="00087BED"/>
    <w:rsid w:val="00197BB4"/>
    <w:rsid w:val="00221461"/>
    <w:rsid w:val="00221CEF"/>
    <w:rsid w:val="0023655D"/>
    <w:rsid w:val="002B0C82"/>
    <w:rsid w:val="002D7498"/>
    <w:rsid w:val="002E101A"/>
    <w:rsid w:val="00300850"/>
    <w:rsid w:val="00345FBC"/>
    <w:rsid w:val="003511B5"/>
    <w:rsid w:val="0035304C"/>
    <w:rsid w:val="00382871"/>
    <w:rsid w:val="004323BD"/>
    <w:rsid w:val="00450C71"/>
    <w:rsid w:val="00494254"/>
    <w:rsid w:val="004949C7"/>
    <w:rsid w:val="004B0294"/>
    <w:rsid w:val="004C192A"/>
    <w:rsid w:val="005476E1"/>
    <w:rsid w:val="00565EC9"/>
    <w:rsid w:val="00590C61"/>
    <w:rsid w:val="005C04B5"/>
    <w:rsid w:val="005E457A"/>
    <w:rsid w:val="00632456"/>
    <w:rsid w:val="00661631"/>
    <w:rsid w:val="00670312"/>
    <w:rsid w:val="00686878"/>
    <w:rsid w:val="006A1530"/>
    <w:rsid w:val="00710D44"/>
    <w:rsid w:val="00712B4C"/>
    <w:rsid w:val="007200A1"/>
    <w:rsid w:val="00744AEA"/>
    <w:rsid w:val="007C5B8A"/>
    <w:rsid w:val="00812FF2"/>
    <w:rsid w:val="00813EA8"/>
    <w:rsid w:val="00827908"/>
    <w:rsid w:val="008B6586"/>
    <w:rsid w:val="008C1C68"/>
    <w:rsid w:val="00903BBC"/>
    <w:rsid w:val="009074DB"/>
    <w:rsid w:val="00930849"/>
    <w:rsid w:val="00931833"/>
    <w:rsid w:val="00956C25"/>
    <w:rsid w:val="00985C13"/>
    <w:rsid w:val="009F2350"/>
    <w:rsid w:val="00A40067"/>
    <w:rsid w:val="00A55AE9"/>
    <w:rsid w:val="00A57500"/>
    <w:rsid w:val="00A63BA7"/>
    <w:rsid w:val="00A64C16"/>
    <w:rsid w:val="00A94B01"/>
    <w:rsid w:val="00AB0A1B"/>
    <w:rsid w:val="00B43B1C"/>
    <w:rsid w:val="00B81DBE"/>
    <w:rsid w:val="00B92EB6"/>
    <w:rsid w:val="00B936C6"/>
    <w:rsid w:val="00BD505B"/>
    <w:rsid w:val="00BF27CE"/>
    <w:rsid w:val="00BF5614"/>
    <w:rsid w:val="00C22D92"/>
    <w:rsid w:val="00C34F9D"/>
    <w:rsid w:val="00C362C0"/>
    <w:rsid w:val="00C7221A"/>
    <w:rsid w:val="00C97311"/>
    <w:rsid w:val="00CC0976"/>
    <w:rsid w:val="00CD5C16"/>
    <w:rsid w:val="00D07729"/>
    <w:rsid w:val="00D52AA6"/>
    <w:rsid w:val="00E0288D"/>
    <w:rsid w:val="00E27F03"/>
    <w:rsid w:val="00E32CFA"/>
    <w:rsid w:val="00E623B9"/>
    <w:rsid w:val="00E76586"/>
    <w:rsid w:val="00E803C4"/>
    <w:rsid w:val="00E8398A"/>
    <w:rsid w:val="00F24480"/>
    <w:rsid w:val="00F43411"/>
    <w:rsid w:val="00FB0D62"/>
    <w:rsid w:val="00FB7FD2"/>
    <w:rsid w:val="00FC79D3"/>
    <w:rsid w:val="00FE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EF921"/>
  <w15:docId w15:val="{2913D349-558C-48BD-AEE4-8A89DBB2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BF5614"/>
    <w:pPr>
      <w:keepNext/>
      <w:keepLines/>
      <w:spacing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CC0976"/>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5614"/>
    <w:rPr>
      <w:rFonts w:eastAsiaTheme="majorEastAsia" w:cstheme="majorBidi"/>
      <w:b/>
      <w:sz w:val="24"/>
      <w:szCs w:val="32"/>
    </w:rPr>
  </w:style>
  <w:style w:type="paragraph" w:styleId="BodyTextIndent">
    <w:name w:val="Body Text Indent"/>
    <w:basedOn w:val="Normal"/>
    <w:link w:val="BodyTextIndentChar"/>
    <w:rsid w:val="00565EC9"/>
    <w:pPr>
      <w:spacing w:after="0" w:line="240" w:lineRule="auto"/>
      <w:ind w:left="720"/>
    </w:pPr>
    <w:rPr>
      <w:rFonts w:ascii="Book Antiqua" w:eastAsia="Times New Roman" w:hAnsi="Book Antiqua" w:cs="Times New Roman"/>
      <w:szCs w:val="20"/>
    </w:rPr>
  </w:style>
  <w:style w:type="character" w:customStyle="1" w:styleId="BodyTextIndentChar">
    <w:name w:val="Body Text Indent Char"/>
    <w:basedOn w:val="DefaultParagraphFont"/>
    <w:link w:val="BodyTextIndent"/>
    <w:rsid w:val="00565EC9"/>
    <w:rPr>
      <w:rFonts w:ascii="Book Antiqua" w:eastAsia="Times New Roman" w:hAnsi="Book Antiqua" w:cs="Times New Roman"/>
      <w:szCs w:val="20"/>
    </w:rPr>
  </w:style>
  <w:style w:type="paragraph" w:styleId="BodyText">
    <w:name w:val="Body Text"/>
    <w:basedOn w:val="Normal"/>
    <w:link w:val="BodyTextChar"/>
    <w:rsid w:val="00565EC9"/>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565EC9"/>
    <w:rPr>
      <w:rFonts w:ascii="Times New Roman" w:eastAsia="Times New Roman" w:hAnsi="Times New Roman" w:cs="Times New Roman"/>
      <w:sz w:val="24"/>
      <w:szCs w:val="24"/>
      <w:lang w:eastAsia="en-GB"/>
    </w:rPr>
  </w:style>
  <w:style w:type="character" w:styleId="Hyperlink">
    <w:name w:val="Hyperlink"/>
    <w:uiPriority w:val="99"/>
    <w:rsid w:val="00A40067"/>
    <w:rPr>
      <w:color w:val="0000FF"/>
      <w:u w:val="single"/>
    </w:rPr>
  </w:style>
  <w:style w:type="character" w:customStyle="1" w:styleId="Heading2Char">
    <w:name w:val="Heading 2 Char"/>
    <w:basedOn w:val="DefaultParagraphFont"/>
    <w:link w:val="Heading2"/>
    <w:uiPriority w:val="9"/>
    <w:rsid w:val="00CC0976"/>
    <w:rPr>
      <w:rFonts w:eastAsiaTheme="majorEastAsia" w:cstheme="majorBidi"/>
      <w:b/>
      <w:sz w:val="24"/>
      <w:szCs w:val="26"/>
    </w:rPr>
  </w:style>
  <w:style w:type="paragraph" w:styleId="TOCHeading">
    <w:name w:val="TOC Heading"/>
    <w:basedOn w:val="Heading1"/>
    <w:next w:val="Normal"/>
    <w:uiPriority w:val="39"/>
    <w:unhideWhenUsed/>
    <w:qFormat/>
    <w:rsid w:val="00903BBC"/>
    <w:pPr>
      <w:spacing w:before="24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903BBC"/>
    <w:pPr>
      <w:spacing w:after="100"/>
    </w:pPr>
  </w:style>
  <w:style w:type="paragraph" w:styleId="TOC2">
    <w:name w:val="toc 2"/>
    <w:basedOn w:val="Normal"/>
    <w:next w:val="Normal"/>
    <w:autoRedefine/>
    <w:uiPriority w:val="39"/>
    <w:unhideWhenUsed/>
    <w:rsid w:val="00903BBC"/>
    <w:pPr>
      <w:spacing w:after="100"/>
      <w:ind w:left="220"/>
    </w:pPr>
  </w:style>
  <w:style w:type="paragraph" w:styleId="NoSpacing">
    <w:name w:val="No Spacing"/>
    <w:link w:val="NoSpacingChar"/>
    <w:uiPriority w:val="1"/>
    <w:qFormat/>
    <w:rsid w:val="00AB0A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B0A1B"/>
    <w:rPr>
      <w:rFonts w:eastAsiaTheme="minorEastAsia"/>
      <w:lang w:val="en-US"/>
    </w:rPr>
  </w:style>
  <w:style w:type="character" w:styleId="FollowedHyperlink">
    <w:name w:val="FollowedHyperlink"/>
    <w:basedOn w:val="DefaultParagraphFont"/>
    <w:uiPriority w:val="99"/>
    <w:semiHidden/>
    <w:unhideWhenUsed/>
    <w:rsid w:val="00345FBC"/>
    <w:rPr>
      <w:color w:val="954F72" w:themeColor="followedHyperlink"/>
      <w:u w:val="single"/>
    </w:rPr>
  </w:style>
  <w:style w:type="paragraph" w:styleId="ListParagraph">
    <w:name w:val="List Paragraph"/>
    <w:basedOn w:val="Normal"/>
    <w:uiPriority w:val="34"/>
    <w:qFormat/>
    <w:rsid w:val="00C7221A"/>
    <w:pPr>
      <w:ind w:left="720"/>
      <w:contextualSpacing/>
    </w:pPr>
  </w:style>
  <w:style w:type="paragraph" w:styleId="BalloonText">
    <w:name w:val="Balloon Text"/>
    <w:basedOn w:val="Normal"/>
    <w:link w:val="BalloonTextChar"/>
    <w:uiPriority w:val="99"/>
    <w:semiHidden/>
    <w:unhideWhenUsed/>
    <w:rsid w:val="00CD5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16"/>
    <w:rPr>
      <w:rFonts w:ascii="Tahoma" w:hAnsi="Tahoma" w:cs="Tahoma"/>
      <w:sz w:val="16"/>
      <w:szCs w:val="16"/>
    </w:rPr>
  </w:style>
  <w:style w:type="paragraph" w:styleId="Header">
    <w:name w:val="header"/>
    <w:basedOn w:val="Normal"/>
    <w:link w:val="HeaderChar"/>
    <w:uiPriority w:val="99"/>
    <w:rsid w:val="002D7498"/>
    <w:pPr>
      <w:tabs>
        <w:tab w:val="center" w:pos="4153"/>
        <w:tab w:val="right" w:pos="8306"/>
      </w:tabs>
      <w:spacing w:before="240"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D7498"/>
    <w:rPr>
      <w:rFonts w:ascii="Times New Roman" w:eastAsia="Times New Roman" w:hAnsi="Times New Roman" w:cs="Times New Roman"/>
      <w:sz w:val="24"/>
      <w:szCs w:val="20"/>
    </w:rPr>
  </w:style>
  <w:style w:type="paragraph" w:styleId="Footer">
    <w:name w:val="footer"/>
    <w:basedOn w:val="Normal"/>
    <w:link w:val="FooterChar"/>
    <w:uiPriority w:val="99"/>
    <w:rsid w:val="002D749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D7498"/>
    <w:rPr>
      <w:rFonts w:ascii="Times New Roman" w:eastAsia="Times New Roman" w:hAnsi="Times New Roman" w:cs="Times New Roman"/>
      <w:sz w:val="24"/>
      <w:szCs w:val="24"/>
    </w:rPr>
  </w:style>
  <w:style w:type="character" w:styleId="PageNumber">
    <w:name w:val="page number"/>
    <w:basedOn w:val="DefaultParagraphFont"/>
    <w:rsid w:val="002D7498"/>
  </w:style>
  <w:style w:type="paragraph" w:styleId="Title">
    <w:name w:val="Title"/>
    <w:basedOn w:val="Normal"/>
    <w:link w:val="TitleChar"/>
    <w:qFormat/>
    <w:rsid w:val="004949C7"/>
    <w:pPr>
      <w:spacing w:after="0" w:line="240" w:lineRule="auto"/>
      <w:jc w:val="center"/>
    </w:pPr>
    <w:rPr>
      <w:rFonts w:ascii="Times New Roman" w:eastAsia="Times New Roman" w:hAnsi="Times New Roman" w:cs="Times New Roman"/>
      <w:b/>
      <w:i/>
      <w:spacing w:val="20"/>
      <w:sz w:val="28"/>
      <w:szCs w:val="20"/>
    </w:rPr>
  </w:style>
  <w:style w:type="character" w:customStyle="1" w:styleId="TitleChar">
    <w:name w:val="Title Char"/>
    <w:basedOn w:val="DefaultParagraphFont"/>
    <w:link w:val="Title"/>
    <w:rsid w:val="004949C7"/>
    <w:rPr>
      <w:rFonts w:ascii="Times New Roman" w:eastAsia="Times New Roman" w:hAnsi="Times New Roman" w:cs="Times New Roman"/>
      <w:b/>
      <w:i/>
      <w:spacing w:val="20"/>
      <w:sz w:val="28"/>
      <w:szCs w:val="20"/>
    </w:rPr>
  </w:style>
  <w:style w:type="paragraph" w:styleId="FootnoteText">
    <w:name w:val="footnote text"/>
    <w:basedOn w:val="Normal"/>
    <w:link w:val="FootnoteTextChar"/>
    <w:uiPriority w:val="99"/>
    <w:unhideWhenUsed/>
    <w:rsid w:val="00FC79D3"/>
    <w:pPr>
      <w:spacing w:after="0" w:line="240" w:lineRule="auto"/>
    </w:pPr>
    <w:rPr>
      <w:sz w:val="24"/>
      <w:szCs w:val="24"/>
    </w:rPr>
  </w:style>
  <w:style w:type="character" w:customStyle="1" w:styleId="FootnoteTextChar">
    <w:name w:val="Footnote Text Char"/>
    <w:basedOn w:val="DefaultParagraphFont"/>
    <w:link w:val="FootnoteText"/>
    <w:uiPriority w:val="99"/>
    <w:rsid w:val="00FC79D3"/>
    <w:rPr>
      <w:sz w:val="24"/>
      <w:szCs w:val="24"/>
    </w:rPr>
  </w:style>
  <w:style w:type="character" w:styleId="FootnoteReference">
    <w:name w:val="footnote reference"/>
    <w:basedOn w:val="DefaultParagraphFont"/>
    <w:uiPriority w:val="99"/>
    <w:unhideWhenUsed/>
    <w:rsid w:val="00FC79D3"/>
    <w:rPr>
      <w:vertAlign w:val="superscript"/>
    </w:rPr>
  </w:style>
  <w:style w:type="paragraph" w:styleId="TOC3">
    <w:name w:val="toc 3"/>
    <w:basedOn w:val="Normal"/>
    <w:next w:val="Normal"/>
    <w:autoRedefine/>
    <w:uiPriority w:val="39"/>
    <w:unhideWhenUsed/>
    <w:rsid w:val="00744AEA"/>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ssex.ac.uk/higher-education/higher-education-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essex.ac.uk/higher-education/higher-education-polici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uthessex.ac.uk/higher-education/higher-education-policies" TargetMode="External"/><Relationship Id="rId4" Type="http://schemas.openxmlformats.org/officeDocument/2006/relationships/settings" Target="settings.xml"/><Relationship Id="rId9" Type="http://schemas.openxmlformats.org/officeDocument/2006/relationships/hyperlink" Target="http://www.southessex.ac.uk/higher-education/higher-education-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EEEA-99EF-4844-824C-7140A8CC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Jitinder Hans</dc:creator>
  <cp:keywords/>
  <dc:description/>
  <cp:lastModifiedBy>Jitinder Hans</cp:lastModifiedBy>
  <cp:revision>10</cp:revision>
  <dcterms:created xsi:type="dcterms:W3CDTF">2016-01-13T10:15:00Z</dcterms:created>
  <dcterms:modified xsi:type="dcterms:W3CDTF">2016-08-31T09:26:00Z</dcterms:modified>
</cp:coreProperties>
</file>